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EDCF19">
      <w:pPr>
        <w:tabs>
          <w:tab w:val="left" w:pos="420"/>
        </w:tabs>
        <w:spacing w:line="1700" w:lineRule="exact"/>
        <w:jc w:val="center"/>
        <w:rPr>
          <w:rFonts w:hint="eastAsia" w:ascii="宋体" w:hAnsi="宋体" w:eastAsia="宋体" w:cs="宋体"/>
          <w:b/>
          <w:color w:val="auto"/>
          <w:spacing w:val="36"/>
          <w:sz w:val="72"/>
          <w:szCs w:val="72"/>
          <w:highlight w:val="none"/>
          <w14:shadow w14:blurRad="50800" w14:dist="38100" w14:dir="2700000" w14:sx="100000" w14:sy="100000" w14:kx="0" w14:ky="0" w14:algn="tl">
            <w14:srgbClr w14:val="000000">
              <w14:alpha w14:val="60000"/>
            </w14:srgbClr>
          </w14:shadow>
        </w:rPr>
      </w:pPr>
      <w:r>
        <w:rPr>
          <w:rFonts w:hint="eastAsia" w:ascii="宋体" w:hAnsi="宋体" w:eastAsia="宋体" w:cs="宋体"/>
          <w:b/>
          <w:bCs/>
          <w:color w:val="auto"/>
          <w:kern w:val="0"/>
          <w:sz w:val="72"/>
          <w:szCs w:val="72"/>
          <w:highlight w:val="none"/>
          <w14:shadow w14:blurRad="50800" w14:dist="38100" w14:dir="2700000" w14:sx="100000" w14:sy="100000" w14:kx="0" w14:ky="0" w14:algn="tl">
            <w14:srgbClr w14:val="000000">
              <w14:alpha w14:val="60000"/>
            </w14:srgbClr>
          </w14:shadow>
        </w:rPr>
        <w:t>周口市公共资源交易中心</w:t>
      </w:r>
    </w:p>
    <w:p w14:paraId="2A01EE7B">
      <w:pPr>
        <w:tabs>
          <w:tab w:val="left" w:pos="315"/>
          <w:tab w:val="left" w:pos="8820"/>
        </w:tabs>
        <w:spacing w:line="500" w:lineRule="exact"/>
        <w:ind w:right="267" w:rightChars="127"/>
        <w:jc w:val="center"/>
        <w:rPr>
          <w:rFonts w:hint="eastAsia" w:ascii="宋体" w:hAnsi="宋体" w:eastAsia="宋体" w:cs="宋体"/>
          <w:b/>
          <w:bCs/>
          <w:color w:val="auto"/>
          <w:sz w:val="48"/>
          <w:highlight w:val="none"/>
        </w:rPr>
      </w:pPr>
    </w:p>
    <w:p w14:paraId="16B6B02B">
      <w:pPr>
        <w:tabs>
          <w:tab w:val="left" w:pos="315"/>
          <w:tab w:val="left" w:pos="8820"/>
        </w:tabs>
        <w:spacing w:line="500" w:lineRule="exact"/>
        <w:ind w:right="267" w:rightChars="127"/>
        <w:jc w:val="center"/>
        <w:rPr>
          <w:rFonts w:hint="eastAsia" w:ascii="宋体" w:hAnsi="宋体" w:eastAsia="宋体" w:cs="宋体"/>
          <w:b/>
          <w:bCs/>
          <w:color w:val="auto"/>
          <w:sz w:val="52"/>
          <w:highlight w:val="none"/>
        </w:rPr>
      </w:pPr>
    </w:p>
    <w:p w14:paraId="0C739769">
      <w:pPr>
        <w:tabs>
          <w:tab w:val="left" w:pos="315"/>
          <w:tab w:val="left" w:pos="8820"/>
        </w:tabs>
        <w:spacing w:line="500" w:lineRule="exact"/>
        <w:ind w:right="267" w:rightChars="127"/>
        <w:jc w:val="center"/>
        <w:rPr>
          <w:rFonts w:hint="eastAsia" w:ascii="宋体" w:hAnsi="宋体" w:eastAsia="宋体" w:cs="宋体"/>
          <w:b/>
          <w:bCs/>
          <w:color w:val="auto"/>
          <w:sz w:val="52"/>
          <w:highlight w:val="none"/>
        </w:rPr>
      </w:pPr>
      <w:r>
        <w:rPr>
          <w:rFonts w:hint="eastAsia" w:ascii="宋体" w:hAnsi="宋体" w:eastAsia="宋体" w:cs="宋体"/>
          <w:b/>
          <w:bCs/>
          <w:color w:val="auto"/>
          <w:sz w:val="52"/>
          <w:highlight w:val="none"/>
        </w:rPr>
        <w:t>政 府 采 购 招 标 文 件</w:t>
      </w:r>
    </w:p>
    <w:p w14:paraId="5927C283">
      <w:pPr>
        <w:tabs>
          <w:tab w:val="left" w:pos="315"/>
          <w:tab w:val="left" w:pos="8820"/>
        </w:tabs>
        <w:spacing w:line="500" w:lineRule="exact"/>
        <w:ind w:right="267" w:rightChars="127"/>
        <w:jc w:val="center"/>
        <w:rPr>
          <w:rFonts w:hint="eastAsia" w:ascii="宋体" w:hAnsi="宋体" w:eastAsia="宋体" w:cs="宋体"/>
          <w:color w:val="auto"/>
          <w:sz w:val="44"/>
          <w:highlight w:val="none"/>
        </w:rPr>
      </w:pPr>
    </w:p>
    <w:p w14:paraId="292EE965">
      <w:pPr>
        <w:tabs>
          <w:tab w:val="left" w:pos="315"/>
          <w:tab w:val="left" w:pos="8820"/>
        </w:tabs>
        <w:ind w:right="267" w:rightChars="127"/>
        <w:rPr>
          <w:rFonts w:hint="eastAsia" w:ascii="宋体" w:hAnsi="宋体" w:eastAsia="宋体" w:cs="宋体"/>
          <w:color w:val="auto"/>
          <w:sz w:val="44"/>
          <w:highlight w:val="none"/>
        </w:rPr>
      </w:pPr>
    </w:p>
    <w:p w14:paraId="5BA50E98">
      <w:pPr>
        <w:tabs>
          <w:tab w:val="left" w:pos="315"/>
          <w:tab w:val="left" w:pos="8820"/>
        </w:tabs>
        <w:ind w:right="267" w:rightChars="127"/>
        <w:rPr>
          <w:rFonts w:hint="eastAsia" w:ascii="宋体" w:hAnsi="宋体" w:eastAsia="宋体" w:cs="宋体"/>
          <w:color w:val="auto"/>
          <w:sz w:val="44"/>
          <w:highlight w:val="none"/>
        </w:rPr>
      </w:pPr>
    </w:p>
    <w:p w14:paraId="5F375CE1">
      <w:pPr>
        <w:tabs>
          <w:tab w:val="left" w:pos="315"/>
          <w:tab w:val="left" w:pos="8820"/>
        </w:tabs>
        <w:ind w:right="267" w:rightChars="127"/>
        <w:rPr>
          <w:rFonts w:hint="eastAsia" w:ascii="宋体" w:hAnsi="宋体" w:eastAsia="宋体" w:cs="宋体"/>
          <w:color w:val="auto"/>
          <w:sz w:val="44"/>
          <w:highlight w:val="none"/>
        </w:rPr>
      </w:pPr>
    </w:p>
    <w:p w14:paraId="7A4069CF">
      <w:pPr>
        <w:tabs>
          <w:tab w:val="left" w:pos="315"/>
          <w:tab w:val="left" w:pos="8820"/>
        </w:tabs>
        <w:ind w:right="267" w:rightChars="127"/>
        <w:rPr>
          <w:rFonts w:hint="eastAsia" w:ascii="宋体" w:hAnsi="宋体" w:eastAsia="宋体" w:cs="宋体"/>
          <w:color w:val="auto"/>
          <w:sz w:val="44"/>
          <w:highlight w:val="none"/>
        </w:rPr>
      </w:pPr>
    </w:p>
    <w:p w14:paraId="2DAC1FC3">
      <w:pPr>
        <w:tabs>
          <w:tab w:val="left" w:pos="315"/>
          <w:tab w:val="left" w:pos="8820"/>
        </w:tabs>
        <w:spacing w:line="500" w:lineRule="exact"/>
        <w:ind w:right="267" w:rightChars="127"/>
        <w:rPr>
          <w:rFonts w:hint="eastAsia" w:ascii="宋体" w:hAnsi="宋体" w:eastAsia="宋体" w:cs="宋体"/>
          <w:color w:val="auto"/>
          <w:sz w:val="36"/>
          <w:highlight w:val="none"/>
        </w:rPr>
      </w:pPr>
    </w:p>
    <w:p w14:paraId="1E5BA67A">
      <w:pPr>
        <w:pStyle w:val="8"/>
        <w:spacing w:line="360" w:lineRule="auto"/>
        <w:ind w:left="1606" w:hanging="1606" w:hangingChars="500"/>
        <w:rPr>
          <w:rFonts w:hint="eastAsia" w:ascii="宋体" w:hAnsi="宋体" w:eastAsia="宋体" w:cs="宋体"/>
          <w:color w:val="auto"/>
          <w:sz w:val="32"/>
          <w:szCs w:val="32"/>
          <w:highlight w:val="none"/>
        </w:rPr>
      </w:pPr>
    </w:p>
    <w:p w14:paraId="1D23CBEA">
      <w:pPr>
        <w:pStyle w:val="8"/>
        <w:spacing w:line="360" w:lineRule="auto"/>
        <w:ind w:left="1606" w:hanging="1606" w:hangingChars="500"/>
        <w:rPr>
          <w:rFonts w:hint="eastAsia" w:ascii="宋体" w:hAnsi="宋体" w:eastAsia="宋体" w:cs="宋体"/>
          <w:color w:val="auto"/>
          <w:sz w:val="32"/>
          <w:szCs w:val="32"/>
          <w:highlight w:val="none"/>
        </w:rPr>
      </w:pPr>
    </w:p>
    <w:p w14:paraId="441285D7">
      <w:pPr>
        <w:pStyle w:val="8"/>
        <w:spacing w:line="360" w:lineRule="auto"/>
        <w:ind w:left="1606" w:hanging="1606" w:hangingChars="500"/>
        <w:rPr>
          <w:rFonts w:hint="eastAsia" w:ascii="宋体" w:hAnsi="宋体" w:eastAsia="宋体" w:cs="宋体"/>
          <w:color w:val="auto"/>
          <w:sz w:val="32"/>
          <w:szCs w:val="32"/>
          <w:highlight w:val="none"/>
        </w:rPr>
      </w:pPr>
    </w:p>
    <w:p w14:paraId="748E63C5">
      <w:pPr>
        <w:pStyle w:val="8"/>
        <w:spacing w:line="360" w:lineRule="auto"/>
        <w:ind w:left="1606" w:hanging="1606" w:hangingChars="500"/>
        <w:rPr>
          <w:rFonts w:hint="eastAsia" w:ascii="宋体" w:hAnsi="宋体" w:eastAsia="宋体" w:cs="宋体"/>
          <w:color w:val="auto"/>
          <w:sz w:val="32"/>
          <w:szCs w:val="32"/>
          <w:highlight w:val="none"/>
        </w:rPr>
      </w:pPr>
    </w:p>
    <w:p w14:paraId="1894221C">
      <w:pPr>
        <w:pStyle w:val="8"/>
        <w:spacing w:line="360" w:lineRule="auto"/>
        <w:ind w:left="1606" w:hanging="1606" w:hangingChars="500"/>
        <w:rPr>
          <w:rFonts w:hint="eastAsia" w:ascii="宋体" w:hAnsi="宋体" w:eastAsia="宋体" w:cs="宋体"/>
          <w:color w:val="auto"/>
          <w:sz w:val="32"/>
          <w:szCs w:val="32"/>
          <w:highlight w:val="none"/>
        </w:rPr>
      </w:pPr>
    </w:p>
    <w:p w14:paraId="764A51EC">
      <w:pPr>
        <w:pStyle w:val="8"/>
        <w:spacing w:line="360" w:lineRule="auto"/>
        <w:ind w:left="1606" w:hanging="1606" w:hangingChars="500"/>
        <w:rPr>
          <w:rFonts w:hint="eastAsia" w:ascii="宋体" w:hAnsi="宋体" w:eastAsia="宋体" w:cs="宋体"/>
          <w:color w:val="auto"/>
          <w:sz w:val="32"/>
          <w:szCs w:val="32"/>
          <w:highlight w:val="none"/>
        </w:rPr>
      </w:pPr>
    </w:p>
    <w:p w14:paraId="376FC503">
      <w:pPr>
        <w:pStyle w:val="8"/>
        <w:spacing w:line="360" w:lineRule="auto"/>
        <w:ind w:left="1606" w:hanging="1606" w:hangingChars="500"/>
        <w:rPr>
          <w:rFonts w:hint="eastAsia" w:ascii="宋体" w:hAnsi="宋体" w:eastAsia="宋体" w:cs="宋体"/>
          <w:color w:val="auto"/>
          <w:sz w:val="32"/>
          <w:szCs w:val="32"/>
          <w:highlight w:val="none"/>
        </w:rPr>
      </w:pPr>
    </w:p>
    <w:p w14:paraId="71077775">
      <w:pPr>
        <w:pStyle w:val="8"/>
        <w:spacing w:line="360" w:lineRule="auto"/>
        <w:ind w:left="1606" w:hanging="1600" w:hangingChars="500"/>
        <w:rPr>
          <w:rFonts w:hint="eastAsia" w:ascii="宋体" w:hAnsi="Times New Roman" w:eastAsia="宋体" w:cs="Times New Roman"/>
          <w:b w:val="0"/>
          <w:bCs/>
          <w:color w:val="auto"/>
          <w:sz w:val="30"/>
          <w:szCs w:val="30"/>
          <w:highlight w:val="none"/>
          <w:u w:val="none"/>
          <w:lang w:val="en-US" w:eastAsia="zh-CN"/>
        </w:rPr>
      </w:pPr>
      <w:r>
        <w:rPr>
          <w:rFonts w:hint="eastAsia" w:ascii="宋体" w:hAnsi="宋体" w:eastAsia="宋体" w:cs="宋体"/>
          <w:b w:val="0"/>
          <w:bCs/>
          <w:color w:val="auto"/>
          <w:sz w:val="32"/>
          <w:szCs w:val="32"/>
          <w:highlight w:val="none"/>
        </w:rPr>
        <w:t>项目名称</w:t>
      </w:r>
      <w:r>
        <w:rPr>
          <w:rFonts w:hint="eastAsia" w:ascii="宋体" w:hAnsi="宋体" w:eastAsia="宋体" w:cs="宋体"/>
          <w:b w:val="0"/>
          <w:bCs/>
          <w:color w:val="auto"/>
          <w:szCs w:val="28"/>
          <w:highlight w:val="none"/>
        </w:rPr>
        <w:t>：</w:t>
      </w:r>
      <w:r>
        <w:rPr>
          <w:rFonts w:hint="eastAsia" w:ascii="宋体" w:hAnsi="Times New Roman" w:eastAsia="宋体" w:cs="Times New Roman"/>
          <w:b w:val="0"/>
          <w:bCs/>
          <w:color w:val="auto"/>
          <w:sz w:val="30"/>
          <w:szCs w:val="30"/>
          <w:highlight w:val="none"/>
          <w:u w:val="none"/>
          <w:lang w:val="en-US" w:eastAsia="zh-CN"/>
        </w:rPr>
        <w:t>鹿邑县行政审批和政务信息管理局鹿邑县“互联网+政务服务”平台系统集成服务项目</w:t>
      </w:r>
    </w:p>
    <w:p w14:paraId="4198B275">
      <w:pPr>
        <w:pStyle w:val="8"/>
        <w:spacing w:line="360" w:lineRule="auto"/>
        <w:rPr>
          <w:rFonts w:hint="default" w:ascii="宋体" w:hAnsi="宋体" w:eastAsia="宋体" w:cs="宋体"/>
          <w:b w:val="0"/>
          <w:bCs/>
          <w:color w:val="auto"/>
          <w:sz w:val="32"/>
          <w:highlight w:val="none"/>
          <w:lang w:val="en-US" w:eastAsia="zh-CN"/>
        </w:rPr>
      </w:pPr>
      <w:r>
        <w:rPr>
          <w:rFonts w:hint="eastAsia" w:ascii="宋体" w:hAnsi="宋体" w:eastAsia="宋体" w:cs="宋体"/>
          <w:b w:val="0"/>
          <w:bCs/>
          <w:color w:val="auto"/>
          <w:sz w:val="32"/>
          <w:highlight w:val="none"/>
        </w:rPr>
        <w:t>项目编号：</w:t>
      </w:r>
      <w:r>
        <w:rPr>
          <w:rFonts w:hint="eastAsia" w:ascii="宋体" w:hAnsi="Times New Roman" w:eastAsia="宋体" w:cs="Times New Roman"/>
          <w:b w:val="0"/>
          <w:bCs/>
          <w:color w:val="auto"/>
          <w:sz w:val="30"/>
          <w:szCs w:val="30"/>
          <w:highlight w:val="none"/>
          <w:u w:val="none"/>
          <w:lang w:val="en-US" w:eastAsia="zh-CN"/>
        </w:rPr>
        <w:t>鹿财公开-2025-7</w:t>
      </w:r>
    </w:p>
    <w:p w14:paraId="05D336CC">
      <w:pPr>
        <w:pStyle w:val="8"/>
        <w:rPr>
          <w:rFonts w:hint="eastAsia" w:ascii="宋体" w:hAnsi="宋体" w:eastAsia="宋体" w:cs="宋体"/>
          <w:b w:val="0"/>
          <w:bCs/>
          <w:color w:val="auto"/>
          <w:sz w:val="32"/>
          <w:highlight w:val="none"/>
        </w:rPr>
      </w:pPr>
    </w:p>
    <w:p w14:paraId="4EABC983">
      <w:pPr>
        <w:spacing w:line="360" w:lineRule="auto"/>
        <w:jc w:val="center"/>
        <w:rPr>
          <w:rFonts w:hint="default" w:ascii="宋体" w:hAnsi="宋体" w:eastAsia="宋体" w:cs="宋体"/>
          <w:b w:val="0"/>
          <w:bCs/>
          <w:color w:val="auto"/>
          <w:spacing w:val="-4"/>
          <w:sz w:val="32"/>
          <w:szCs w:val="32"/>
          <w:highlight w:val="none"/>
          <w:lang w:val="en-US" w:eastAsia="zh-CN"/>
        </w:rPr>
      </w:pPr>
      <w:r>
        <w:rPr>
          <w:rFonts w:hint="eastAsia" w:ascii="宋体" w:hAnsi="宋体" w:eastAsia="宋体" w:cs="宋体"/>
          <w:b w:val="0"/>
          <w:bCs/>
          <w:color w:val="auto"/>
          <w:spacing w:val="-4"/>
          <w:sz w:val="32"/>
          <w:szCs w:val="32"/>
          <w:highlight w:val="none"/>
          <w:lang w:val="en-US" w:eastAsia="zh-CN"/>
        </w:rPr>
        <w:t>2025</w:t>
      </w:r>
      <w:r>
        <w:rPr>
          <w:rFonts w:hint="eastAsia" w:ascii="宋体" w:hAnsi="宋体" w:eastAsia="宋体" w:cs="宋体"/>
          <w:b w:val="0"/>
          <w:bCs/>
          <w:color w:val="auto"/>
          <w:spacing w:val="-4"/>
          <w:sz w:val="32"/>
          <w:szCs w:val="32"/>
          <w:highlight w:val="none"/>
        </w:rPr>
        <w:t>年</w:t>
      </w:r>
      <w:r>
        <w:rPr>
          <w:rFonts w:hint="eastAsia" w:ascii="宋体" w:hAnsi="宋体" w:eastAsia="宋体" w:cs="宋体"/>
          <w:b w:val="0"/>
          <w:bCs/>
          <w:color w:val="auto"/>
          <w:spacing w:val="-4"/>
          <w:sz w:val="32"/>
          <w:szCs w:val="32"/>
          <w:highlight w:val="none"/>
          <w:lang w:val="en-US" w:eastAsia="zh-CN"/>
        </w:rPr>
        <w:t>6</w:t>
      </w:r>
      <w:r>
        <w:rPr>
          <w:rFonts w:hint="eastAsia" w:ascii="宋体" w:hAnsi="宋体" w:eastAsia="宋体" w:cs="宋体"/>
          <w:b w:val="0"/>
          <w:bCs/>
          <w:color w:val="auto"/>
          <w:spacing w:val="-4"/>
          <w:sz w:val="32"/>
          <w:szCs w:val="32"/>
          <w:highlight w:val="none"/>
        </w:rPr>
        <w:t>月</w:t>
      </w:r>
      <w:r>
        <w:rPr>
          <w:rFonts w:hint="eastAsia" w:ascii="宋体" w:hAnsi="宋体" w:cs="宋体"/>
          <w:b w:val="0"/>
          <w:bCs/>
          <w:color w:val="auto"/>
          <w:spacing w:val="-4"/>
          <w:sz w:val="32"/>
          <w:szCs w:val="32"/>
          <w:highlight w:val="none"/>
          <w:lang w:val="en-US" w:eastAsia="zh-CN"/>
        </w:rPr>
        <w:t>17日</w:t>
      </w:r>
    </w:p>
    <w:p w14:paraId="01024A81">
      <w:pPr>
        <w:tabs>
          <w:tab w:val="left" w:pos="4620"/>
        </w:tabs>
        <w:spacing w:line="500" w:lineRule="exact"/>
        <w:jc w:val="center"/>
        <w:rPr>
          <w:rFonts w:hint="eastAsia" w:ascii="宋体" w:hAnsi="宋体" w:eastAsia="宋体" w:cs="宋体"/>
          <w:b/>
          <w:color w:val="auto"/>
          <w:sz w:val="32"/>
          <w:highlight w:val="none"/>
        </w:rPr>
      </w:pPr>
      <w:r>
        <w:rPr>
          <w:rFonts w:hint="eastAsia" w:ascii="宋体" w:hAnsi="宋体" w:eastAsia="宋体" w:cs="宋体"/>
          <w:b/>
          <w:color w:val="auto"/>
          <w:sz w:val="32"/>
          <w:highlight w:val="none"/>
        </w:rPr>
        <w:t>目  录</w:t>
      </w:r>
    </w:p>
    <w:p w14:paraId="5BE4A6A7">
      <w:pPr>
        <w:pStyle w:val="18"/>
        <w:tabs>
          <w:tab w:val="right" w:leader="dot" w:pos="8390"/>
        </w:tabs>
        <w:jc w:val="left"/>
        <w:rPr>
          <w:rFonts w:hint="eastAsia" w:ascii="宋体" w:hAnsi="宋体" w:eastAsia="宋体" w:cs="宋体"/>
          <w:bCs/>
          <w:caps/>
          <w:smallCaps/>
          <w:color w:val="auto"/>
          <w:sz w:val="32"/>
          <w:szCs w:val="32"/>
          <w:highlight w:val="none"/>
        </w:rPr>
      </w:pPr>
      <w:bookmarkStart w:id="0" w:name="_Hlt519045295"/>
      <w:bookmarkEnd w:id="0"/>
      <w:bookmarkStart w:id="1" w:name="_Hlt526418134"/>
      <w:bookmarkEnd w:id="1"/>
      <w:bookmarkStart w:id="2" w:name="_Hlt533241375"/>
      <w:bookmarkEnd w:id="2"/>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TOC \o "1-3" \h \z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HYPERLINK \l _Toc20608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第一章  招标公告</w:t>
      </w:r>
      <w:r>
        <w:rPr>
          <w:rFonts w:hint="eastAsia" w:ascii="宋体" w:hAnsi="宋体" w:eastAsia="宋体" w:cs="宋体"/>
          <w:bCs/>
          <w:caps/>
          <w:smallCaps/>
          <w:color w:val="auto"/>
          <w:sz w:val="32"/>
          <w:szCs w:val="32"/>
          <w:highlight w:val="none"/>
        </w:rPr>
        <w:tab/>
      </w: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PAGEREF _Toc20608 \h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3</w:t>
      </w:r>
      <w:r>
        <w:rPr>
          <w:rFonts w:hint="eastAsia" w:ascii="宋体" w:hAnsi="宋体" w:eastAsia="宋体" w:cs="宋体"/>
          <w:bCs/>
          <w:caps/>
          <w:smallCaps/>
          <w:color w:val="auto"/>
          <w:sz w:val="32"/>
          <w:szCs w:val="32"/>
          <w:highlight w:val="none"/>
        </w:rPr>
        <w:fldChar w:fldCharType="end"/>
      </w:r>
      <w:r>
        <w:rPr>
          <w:rFonts w:hint="eastAsia" w:ascii="宋体" w:hAnsi="宋体" w:eastAsia="宋体" w:cs="宋体"/>
          <w:bCs/>
          <w:caps/>
          <w:smallCaps/>
          <w:color w:val="auto"/>
          <w:sz w:val="32"/>
          <w:szCs w:val="32"/>
          <w:highlight w:val="none"/>
        </w:rPr>
        <w:fldChar w:fldCharType="end"/>
      </w:r>
    </w:p>
    <w:p w14:paraId="3E715413">
      <w:pPr>
        <w:pStyle w:val="18"/>
        <w:tabs>
          <w:tab w:val="right" w:leader="dot" w:pos="8390"/>
        </w:tabs>
        <w:jc w:val="left"/>
        <w:rPr>
          <w:rFonts w:hint="eastAsia" w:ascii="宋体" w:hAnsi="宋体" w:eastAsia="宋体" w:cs="宋体"/>
          <w:bCs/>
          <w:caps/>
          <w:smallCaps/>
          <w:color w:val="auto"/>
          <w:sz w:val="32"/>
          <w:szCs w:val="32"/>
          <w:highlight w:val="none"/>
        </w:rPr>
      </w:pP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HYPERLINK \l _Toc8586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第二章 投标人须知前附表</w:t>
      </w:r>
      <w:r>
        <w:rPr>
          <w:rFonts w:hint="eastAsia" w:ascii="宋体" w:hAnsi="宋体" w:eastAsia="宋体" w:cs="宋体"/>
          <w:bCs/>
          <w:caps/>
          <w:smallCaps/>
          <w:color w:val="auto"/>
          <w:sz w:val="32"/>
          <w:szCs w:val="32"/>
          <w:highlight w:val="none"/>
        </w:rPr>
        <w:tab/>
      </w: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PAGEREF _Toc8586 \h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6</w:t>
      </w:r>
      <w:r>
        <w:rPr>
          <w:rFonts w:hint="eastAsia" w:ascii="宋体" w:hAnsi="宋体" w:eastAsia="宋体" w:cs="宋体"/>
          <w:bCs/>
          <w:caps/>
          <w:smallCaps/>
          <w:color w:val="auto"/>
          <w:sz w:val="32"/>
          <w:szCs w:val="32"/>
          <w:highlight w:val="none"/>
        </w:rPr>
        <w:fldChar w:fldCharType="end"/>
      </w:r>
      <w:r>
        <w:rPr>
          <w:rFonts w:hint="eastAsia" w:ascii="宋体" w:hAnsi="宋体" w:eastAsia="宋体" w:cs="宋体"/>
          <w:bCs/>
          <w:caps/>
          <w:smallCaps/>
          <w:color w:val="auto"/>
          <w:sz w:val="32"/>
          <w:szCs w:val="32"/>
          <w:highlight w:val="none"/>
        </w:rPr>
        <w:fldChar w:fldCharType="end"/>
      </w:r>
    </w:p>
    <w:p w14:paraId="56DC71C0">
      <w:pPr>
        <w:pStyle w:val="18"/>
        <w:tabs>
          <w:tab w:val="right" w:leader="dot" w:pos="8390"/>
        </w:tabs>
        <w:jc w:val="left"/>
        <w:rPr>
          <w:rFonts w:hint="eastAsia" w:ascii="宋体" w:hAnsi="宋体" w:eastAsia="宋体" w:cs="宋体"/>
          <w:bCs/>
          <w:caps/>
          <w:smallCaps/>
          <w:color w:val="auto"/>
          <w:sz w:val="32"/>
          <w:szCs w:val="32"/>
          <w:highlight w:val="none"/>
        </w:rPr>
      </w:pP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HYPERLINK \l _Toc22493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第三章</w:t>
      </w:r>
      <w:r>
        <w:rPr>
          <w:rFonts w:hint="eastAsia" w:ascii="宋体" w:hAnsi="宋体" w:eastAsia="宋体" w:cs="宋体"/>
          <w:bCs/>
          <w:caps/>
          <w:smallCaps/>
          <w:color w:val="auto"/>
          <w:sz w:val="32"/>
          <w:szCs w:val="32"/>
          <w:highlight w:val="none"/>
          <w:lang w:eastAsia="zh-CN"/>
        </w:rPr>
        <w:t xml:space="preserve">  </w:t>
      </w:r>
      <w:r>
        <w:rPr>
          <w:rFonts w:hint="eastAsia" w:ascii="宋体" w:hAnsi="宋体" w:eastAsia="宋体" w:cs="宋体"/>
          <w:bCs/>
          <w:caps/>
          <w:smallCaps/>
          <w:color w:val="auto"/>
          <w:sz w:val="32"/>
          <w:szCs w:val="32"/>
          <w:highlight w:val="none"/>
        </w:rPr>
        <w:t>需求一览表</w:t>
      </w:r>
      <w:r>
        <w:rPr>
          <w:rFonts w:hint="eastAsia" w:ascii="宋体" w:hAnsi="宋体" w:eastAsia="宋体" w:cs="宋体"/>
          <w:bCs/>
          <w:caps/>
          <w:smallCaps/>
          <w:color w:val="auto"/>
          <w:sz w:val="32"/>
          <w:szCs w:val="32"/>
          <w:highlight w:val="none"/>
        </w:rPr>
        <w:tab/>
      </w: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PAGEREF _Toc22493 \h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8</w:t>
      </w:r>
      <w:r>
        <w:rPr>
          <w:rFonts w:hint="eastAsia" w:ascii="宋体" w:hAnsi="宋体" w:eastAsia="宋体" w:cs="宋体"/>
          <w:bCs/>
          <w:caps/>
          <w:smallCaps/>
          <w:color w:val="auto"/>
          <w:sz w:val="32"/>
          <w:szCs w:val="32"/>
          <w:highlight w:val="none"/>
        </w:rPr>
        <w:fldChar w:fldCharType="end"/>
      </w:r>
      <w:r>
        <w:rPr>
          <w:rFonts w:hint="eastAsia" w:ascii="宋体" w:hAnsi="宋体" w:eastAsia="宋体" w:cs="宋体"/>
          <w:bCs/>
          <w:caps/>
          <w:smallCaps/>
          <w:color w:val="auto"/>
          <w:sz w:val="32"/>
          <w:szCs w:val="32"/>
          <w:highlight w:val="none"/>
        </w:rPr>
        <w:fldChar w:fldCharType="end"/>
      </w:r>
    </w:p>
    <w:p w14:paraId="360365B9">
      <w:pPr>
        <w:pStyle w:val="18"/>
        <w:tabs>
          <w:tab w:val="right" w:leader="dot" w:pos="8390"/>
        </w:tabs>
        <w:jc w:val="left"/>
        <w:rPr>
          <w:rFonts w:hint="eastAsia" w:ascii="宋体" w:hAnsi="宋体" w:eastAsia="宋体" w:cs="宋体"/>
          <w:bCs/>
          <w:caps/>
          <w:smallCaps/>
          <w:color w:val="auto"/>
          <w:sz w:val="32"/>
          <w:szCs w:val="32"/>
          <w:highlight w:val="none"/>
        </w:rPr>
      </w:pP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HYPERLINK \l _Toc2172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第四章 评标办法</w:t>
      </w:r>
      <w:r>
        <w:rPr>
          <w:rFonts w:hint="eastAsia" w:ascii="宋体" w:hAnsi="宋体" w:eastAsia="宋体" w:cs="宋体"/>
          <w:bCs/>
          <w:caps/>
          <w:smallCaps/>
          <w:color w:val="auto"/>
          <w:sz w:val="32"/>
          <w:szCs w:val="32"/>
          <w:highlight w:val="none"/>
        </w:rPr>
        <w:tab/>
      </w: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PAGEREF _Toc2172 \h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10</w:t>
      </w:r>
      <w:r>
        <w:rPr>
          <w:rFonts w:hint="eastAsia" w:ascii="宋体" w:hAnsi="宋体" w:eastAsia="宋体" w:cs="宋体"/>
          <w:bCs/>
          <w:caps/>
          <w:smallCaps/>
          <w:color w:val="auto"/>
          <w:sz w:val="32"/>
          <w:szCs w:val="32"/>
          <w:highlight w:val="none"/>
        </w:rPr>
        <w:fldChar w:fldCharType="end"/>
      </w:r>
      <w:r>
        <w:rPr>
          <w:rFonts w:hint="eastAsia" w:ascii="宋体" w:hAnsi="宋体" w:eastAsia="宋体" w:cs="宋体"/>
          <w:bCs/>
          <w:caps/>
          <w:smallCaps/>
          <w:color w:val="auto"/>
          <w:sz w:val="32"/>
          <w:szCs w:val="32"/>
          <w:highlight w:val="none"/>
        </w:rPr>
        <w:fldChar w:fldCharType="end"/>
      </w:r>
    </w:p>
    <w:p w14:paraId="79834A09">
      <w:pPr>
        <w:pStyle w:val="18"/>
        <w:tabs>
          <w:tab w:val="right" w:leader="dot" w:pos="8390"/>
        </w:tabs>
        <w:jc w:val="left"/>
        <w:rPr>
          <w:rFonts w:hint="eastAsia" w:ascii="宋体" w:hAnsi="宋体" w:eastAsia="宋体" w:cs="宋体"/>
          <w:bCs/>
          <w:caps/>
          <w:smallCaps/>
          <w:color w:val="auto"/>
          <w:sz w:val="32"/>
          <w:szCs w:val="32"/>
          <w:highlight w:val="none"/>
        </w:rPr>
      </w:pP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HYPERLINK \l _Toc20612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第五章 投标人须知</w:t>
      </w:r>
      <w:r>
        <w:rPr>
          <w:rFonts w:hint="eastAsia" w:ascii="宋体" w:hAnsi="宋体" w:eastAsia="宋体" w:cs="宋体"/>
          <w:bCs/>
          <w:caps/>
          <w:smallCaps/>
          <w:color w:val="auto"/>
          <w:sz w:val="32"/>
          <w:szCs w:val="32"/>
          <w:highlight w:val="none"/>
        </w:rPr>
        <w:tab/>
      </w: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PAGEREF _Toc20612 \h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15</w:t>
      </w:r>
      <w:r>
        <w:rPr>
          <w:rFonts w:hint="eastAsia" w:ascii="宋体" w:hAnsi="宋体" w:eastAsia="宋体" w:cs="宋体"/>
          <w:bCs/>
          <w:caps/>
          <w:smallCaps/>
          <w:color w:val="auto"/>
          <w:sz w:val="32"/>
          <w:szCs w:val="32"/>
          <w:highlight w:val="none"/>
        </w:rPr>
        <w:fldChar w:fldCharType="end"/>
      </w:r>
      <w:r>
        <w:rPr>
          <w:rFonts w:hint="eastAsia" w:ascii="宋体" w:hAnsi="宋体" w:eastAsia="宋体" w:cs="宋体"/>
          <w:bCs/>
          <w:caps/>
          <w:smallCaps/>
          <w:color w:val="auto"/>
          <w:sz w:val="32"/>
          <w:szCs w:val="32"/>
          <w:highlight w:val="none"/>
        </w:rPr>
        <w:fldChar w:fldCharType="end"/>
      </w:r>
    </w:p>
    <w:p w14:paraId="1909E85B">
      <w:pPr>
        <w:pStyle w:val="18"/>
        <w:tabs>
          <w:tab w:val="right" w:leader="dot" w:pos="8390"/>
        </w:tabs>
        <w:jc w:val="left"/>
        <w:rPr>
          <w:rFonts w:hint="eastAsia" w:ascii="宋体" w:hAnsi="宋体" w:eastAsia="宋体" w:cs="宋体"/>
          <w:bCs/>
          <w:caps/>
          <w:smallCaps/>
          <w:color w:val="auto"/>
          <w:sz w:val="32"/>
          <w:szCs w:val="32"/>
          <w:highlight w:val="none"/>
        </w:rPr>
      </w:pP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HYPERLINK \l _Toc13590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lang w:val="en-US"/>
        </w:rPr>
        <w:t>第六章 周口市政府采购合同（</w:t>
      </w:r>
      <w:r>
        <w:rPr>
          <w:rFonts w:hint="eastAsia" w:ascii="宋体" w:hAnsi="宋体" w:eastAsia="宋体" w:cs="宋体"/>
          <w:bCs/>
          <w:caps/>
          <w:smallCaps/>
          <w:color w:val="auto"/>
          <w:sz w:val="32"/>
          <w:szCs w:val="32"/>
          <w:highlight w:val="none"/>
          <w:lang w:val="en-US" w:eastAsia="zh-CN"/>
        </w:rPr>
        <w:t>服务</w:t>
      </w:r>
      <w:r>
        <w:rPr>
          <w:rFonts w:hint="eastAsia" w:ascii="宋体" w:hAnsi="宋体" w:eastAsia="宋体" w:cs="宋体"/>
          <w:bCs/>
          <w:caps/>
          <w:smallCaps/>
          <w:color w:val="auto"/>
          <w:sz w:val="32"/>
          <w:szCs w:val="32"/>
          <w:highlight w:val="none"/>
          <w:lang w:val="en-US"/>
        </w:rPr>
        <w:t>类）标准文本</w:t>
      </w:r>
      <w:r>
        <w:rPr>
          <w:rFonts w:hint="eastAsia" w:ascii="宋体" w:hAnsi="宋体" w:eastAsia="宋体" w:cs="宋体"/>
          <w:bCs/>
          <w:caps/>
          <w:smallCaps/>
          <w:color w:val="auto"/>
          <w:sz w:val="32"/>
          <w:szCs w:val="32"/>
          <w:highlight w:val="none"/>
          <w:lang w:val="en-US" w:eastAsia="zh-CN"/>
        </w:rPr>
        <w:t>、</w:t>
      </w:r>
      <w:r>
        <w:rPr>
          <w:rFonts w:hint="eastAsia" w:ascii="宋体" w:hAnsi="宋体" w:eastAsia="宋体" w:cs="宋体"/>
          <w:bCs/>
          <w:caps/>
          <w:smallCaps/>
          <w:color w:val="auto"/>
          <w:sz w:val="32"/>
          <w:szCs w:val="32"/>
          <w:highlight w:val="none"/>
        </w:rPr>
        <w:t>合同签订指引</w:t>
      </w:r>
      <w:r>
        <w:rPr>
          <w:rFonts w:hint="eastAsia" w:ascii="宋体" w:hAnsi="宋体" w:eastAsia="宋体" w:cs="宋体"/>
          <w:bCs/>
          <w:caps/>
          <w:smallCaps/>
          <w:color w:val="auto"/>
          <w:sz w:val="32"/>
          <w:szCs w:val="32"/>
          <w:highlight w:val="none"/>
          <w:lang w:eastAsia="zh-CN"/>
        </w:rPr>
        <w:t>、</w:t>
      </w:r>
      <w:r>
        <w:rPr>
          <w:rFonts w:hint="eastAsia" w:ascii="宋体" w:hAnsi="宋体" w:eastAsia="宋体" w:cs="宋体"/>
          <w:bCs/>
          <w:caps/>
          <w:smallCaps/>
          <w:color w:val="auto"/>
          <w:sz w:val="32"/>
          <w:szCs w:val="32"/>
          <w:highlight w:val="none"/>
        </w:rPr>
        <w:t>供应商履约验收指引</w:t>
      </w:r>
      <w:r>
        <w:rPr>
          <w:rFonts w:hint="eastAsia" w:ascii="宋体" w:hAnsi="宋体" w:eastAsia="宋体" w:cs="宋体"/>
          <w:bCs/>
          <w:caps/>
          <w:smallCaps/>
          <w:color w:val="auto"/>
          <w:sz w:val="32"/>
          <w:szCs w:val="32"/>
          <w:highlight w:val="none"/>
        </w:rPr>
        <w:tab/>
      </w: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PAGEREF _Toc13590 \h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28</w:t>
      </w:r>
      <w:r>
        <w:rPr>
          <w:rFonts w:hint="eastAsia" w:ascii="宋体" w:hAnsi="宋体" w:eastAsia="宋体" w:cs="宋体"/>
          <w:bCs/>
          <w:caps/>
          <w:smallCaps/>
          <w:color w:val="auto"/>
          <w:sz w:val="32"/>
          <w:szCs w:val="32"/>
          <w:highlight w:val="none"/>
        </w:rPr>
        <w:fldChar w:fldCharType="end"/>
      </w:r>
      <w:r>
        <w:rPr>
          <w:rFonts w:hint="eastAsia" w:ascii="宋体" w:hAnsi="宋体" w:eastAsia="宋体" w:cs="宋体"/>
          <w:bCs/>
          <w:caps/>
          <w:smallCaps/>
          <w:color w:val="auto"/>
          <w:sz w:val="32"/>
          <w:szCs w:val="32"/>
          <w:highlight w:val="none"/>
        </w:rPr>
        <w:fldChar w:fldCharType="end"/>
      </w:r>
    </w:p>
    <w:p w14:paraId="2A079559">
      <w:pPr>
        <w:pStyle w:val="18"/>
        <w:tabs>
          <w:tab w:val="right" w:leader="dot" w:pos="8390"/>
        </w:tabs>
        <w:jc w:val="left"/>
        <w:rPr>
          <w:rFonts w:hint="eastAsia" w:ascii="宋体" w:hAnsi="宋体" w:eastAsia="宋体" w:cs="宋体"/>
          <w:bCs/>
          <w:caps/>
          <w:smallCaps/>
          <w:color w:val="auto"/>
          <w:sz w:val="32"/>
          <w:szCs w:val="32"/>
          <w:highlight w:val="none"/>
        </w:rPr>
      </w:pP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HYPERLINK \l _Toc30673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采购合同内容</w:t>
      </w:r>
      <w:r>
        <w:rPr>
          <w:rFonts w:hint="eastAsia" w:ascii="宋体" w:hAnsi="宋体" w:eastAsia="宋体" w:cs="宋体"/>
          <w:bCs/>
          <w:caps/>
          <w:smallCaps/>
          <w:color w:val="auto"/>
          <w:sz w:val="32"/>
          <w:szCs w:val="32"/>
          <w:highlight w:val="none"/>
        </w:rPr>
        <w:tab/>
      </w: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PAGEREF _Toc30673 \h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30</w:t>
      </w:r>
      <w:r>
        <w:rPr>
          <w:rFonts w:hint="eastAsia" w:ascii="宋体" w:hAnsi="宋体" w:eastAsia="宋体" w:cs="宋体"/>
          <w:bCs/>
          <w:caps/>
          <w:smallCaps/>
          <w:color w:val="auto"/>
          <w:sz w:val="32"/>
          <w:szCs w:val="32"/>
          <w:highlight w:val="none"/>
        </w:rPr>
        <w:fldChar w:fldCharType="end"/>
      </w:r>
      <w:r>
        <w:rPr>
          <w:rFonts w:hint="eastAsia" w:ascii="宋体" w:hAnsi="宋体" w:eastAsia="宋体" w:cs="宋体"/>
          <w:bCs/>
          <w:caps/>
          <w:smallCaps/>
          <w:color w:val="auto"/>
          <w:sz w:val="32"/>
          <w:szCs w:val="32"/>
          <w:highlight w:val="none"/>
        </w:rPr>
        <w:fldChar w:fldCharType="end"/>
      </w:r>
    </w:p>
    <w:p w14:paraId="1137D321">
      <w:pPr>
        <w:pStyle w:val="18"/>
        <w:tabs>
          <w:tab w:val="right" w:leader="dot" w:pos="8390"/>
        </w:tabs>
        <w:jc w:val="left"/>
        <w:rPr>
          <w:rFonts w:hint="eastAsia" w:ascii="宋体" w:hAnsi="宋体" w:eastAsia="宋体" w:cs="宋体"/>
          <w:bCs/>
          <w:caps/>
          <w:smallCaps/>
          <w:color w:val="auto"/>
          <w:sz w:val="32"/>
          <w:szCs w:val="32"/>
          <w:highlight w:val="none"/>
        </w:rPr>
      </w:pP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HYPERLINK \l _Toc30894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第七章 投标文件格式</w:t>
      </w:r>
      <w:r>
        <w:rPr>
          <w:rFonts w:hint="eastAsia" w:ascii="宋体" w:hAnsi="宋体" w:eastAsia="宋体" w:cs="宋体"/>
          <w:bCs/>
          <w:caps/>
          <w:smallCaps/>
          <w:color w:val="auto"/>
          <w:sz w:val="32"/>
          <w:szCs w:val="32"/>
          <w:highlight w:val="none"/>
        </w:rPr>
        <w:tab/>
      </w: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PAGEREF _Toc30894 \h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35</w:t>
      </w:r>
      <w:r>
        <w:rPr>
          <w:rFonts w:hint="eastAsia" w:ascii="宋体" w:hAnsi="宋体" w:eastAsia="宋体" w:cs="宋体"/>
          <w:bCs/>
          <w:caps/>
          <w:smallCaps/>
          <w:color w:val="auto"/>
          <w:sz w:val="32"/>
          <w:szCs w:val="32"/>
          <w:highlight w:val="none"/>
        </w:rPr>
        <w:fldChar w:fldCharType="end"/>
      </w:r>
      <w:r>
        <w:rPr>
          <w:rFonts w:hint="eastAsia" w:ascii="宋体" w:hAnsi="宋体" w:eastAsia="宋体" w:cs="宋体"/>
          <w:bCs/>
          <w:caps/>
          <w:smallCaps/>
          <w:color w:val="auto"/>
          <w:sz w:val="32"/>
          <w:szCs w:val="32"/>
          <w:highlight w:val="none"/>
        </w:rPr>
        <w:fldChar w:fldCharType="end"/>
      </w:r>
    </w:p>
    <w:p w14:paraId="12454E4F">
      <w:pPr>
        <w:pStyle w:val="18"/>
        <w:tabs>
          <w:tab w:val="right" w:leader="dot" w:pos="8390"/>
        </w:tabs>
        <w:jc w:val="left"/>
        <w:rPr>
          <w:rFonts w:hint="eastAsia" w:ascii="宋体" w:hAnsi="宋体" w:eastAsia="宋体" w:cs="宋体"/>
          <w:bCs/>
          <w:caps/>
          <w:smallCaps/>
          <w:color w:val="auto"/>
          <w:sz w:val="32"/>
          <w:szCs w:val="32"/>
          <w:highlight w:val="none"/>
        </w:rPr>
      </w:pP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HYPERLINK \l _Toc12913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周口市政府采购合同融资政策告知函</w:t>
      </w:r>
      <w:r>
        <w:rPr>
          <w:rFonts w:hint="eastAsia" w:ascii="宋体" w:hAnsi="宋体" w:eastAsia="宋体" w:cs="宋体"/>
          <w:bCs/>
          <w:caps/>
          <w:smallCaps/>
          <w:color w:val="auto"/>
          <w:sz w:val="32"/>
          <w:szCs w:val="32"/>
          <w:highlight w:val="none"/>
        </w:rPr>
        <w:tab/>
      </w:r>
      <w:r>
        <w:rPr>
          <w:rFonts w:hint="eastAsia" w:ascii="宋体" w:hAnsi="宋体" w:eastAsia="宋体" w:cs="宋体"/>
          <w:bCs/>
          <w:caps/>
          <w:smallCaps/>
          <w:color w:val="auto"/>
          <w:sz w:val="32"/>
          <w:szCs w:val="32"/>
          <w:highlight w:val="none"/>
        </w:rPr>
        <w:fldChar w:fldCharType="begin"/>
      </w:r>
      <w:r>
        <w:rPr>
          <w:rFonts w:hint="eastAsia" w:ascii="宋体" w:hAnsi="宋体" w:eastAsia="宋体" w:cs="宋体"/>
          <w:bCs/>
          <w:caps/>
          <w:smallCaps/>
          <w:color w:val="auto"/>
          <w:sz w:val="32"/>
          <w:szCs w:val="32"/>
          <w:highlight w:val="none"/>
        </w:rPr>
        <w:instrText xml:space="preserve"> PAGEREF _Toc12913 \h </w:instrText>
      </w:r>
      <w:r>
        <w:rPr>
          <w:rFonts w:hint="eastAsia" w:ascii="宋体" w:hAnsi="宋体" w:eastAsia="宋体" w:cs="宋体"/>
          <w:bCs/>
          <w:caps/>
          <w:smallCaps/>
          <w:color w:val="auto"/>
          <w:sz w:val="32"/>
          <w:szCs w:val="32"/>
          <w:highlight w:val="none"/>
        </w:rPr>
        <w:fldChar w:fldCharType="separate"/>
      </w:r>
      <w:r>
        <w:rPr>
          <w:rFonts w:hint="eastAsia" w:ascii="宋体" w:hAnsi="宋体" w:eastAsia="宋体" w:cs="宋体"/>
          <w:bCs/>
          <w:caps/>
          <w:smallCaps/>
          <w:color w:val="auto"/>
          <w:sz w:val="32"/>
          <w:szCs w:val="32"/>
          <w:highlight w:val="none"/>
        </w:rPr>
        <w:t>47</w:t>
      </w:r>
      <w:r>
        <w:rPr>
          <w:rFonts w:hint="eastAsia" w:ascii="宋体" w:hAnsi="宋体" w:eastAsia="宋体" w:cs="宋体"/>
          <w:bCs/>
          <w:caps/>
          <w:smallCaps/>
          <w:color w:val="auto"/>
          <w:sz w:val="32"/>
          <w:szCs w:val="32"/>
          <w:highlight w:val="none"/>
        </w:rPr>
        <w:fldChar w:fldCharType="end"/>
      </w:r>
      <w:r>
        <w:rPr>
          <w:rFonts w:hint="eastAsia" w:ascii="宋体" w:hAnsi="宋体" w:eastAsia="宋体" w:cs="宋体"/>
          <w:bCs/>
          <w:caps/>
          <w:smallCaps/>
          <w:color w:val="auto"/>
          <w:sz w:val="32"/>
          <w:szCs w:val="32"/>
          <w:highlight w:val="none"/>
        </w:rPr>
        <w:fldChar w:fldCharType="end"/>
      </w:r>
    </w:p>
    <w:p w14:paraId="74C9EF78">
      <w:pPr>
        <w:pStyle w:val="18"/>
        <w:tabs>
          <w:tab w:val="right" w:leader="dot" w:pos="8390"/>
        </w:tabs>
        <w:jc w:val="left"/>
        <w:rPr>
          <w:rFonts w:hint="eastAsia" w:ascii="宋体" w:hAnsi="宋体" w:eastAsia="宋体" w:cs="宋体"/>
          <w:bCs/>
          <w:caps/>
          <w:smallCaps/>
          <w:color w:val="auto"/>
          <w:sz w:val="32"/>
          <w:szCs w:val="32"/>
          <w:highlight w:val="none"/>
        </w:rPr>
      </w:pPr>
      <w:r>
        <w:rPr>
          <w:rFonts w:hint="eastAsia" w:ascii="宋体" w:hAnsi="宋体" w:eastAsia="宋体" w:cs="宋体"/>
          <w:bCs/>
          <w:caps/>
          <w:smallCaps/>
          <w:color w:val="auto"/>
          <w:sz w:val="32"/>
          <w:szCs w:val="32"/>
          <w:highlight w:val="none"/>
        </w:rPr>
        <w:fldChar w:fldCharType="end"/>
      </w:r>
    </w:p>
    <w:p w14:paraId="5FAF6998">
      <w:pPr>
        <w:pStyle w:val="18"/>
        <w:tabs>
          <w:tab w:val="right" w:leader="dot" w:pos="8390"/>
        </w:tabs>
        <w:jc w:val="left"/>
        <w:rPr>
          <w:rFonts w:hint="eastAsia" w:ascii="宋体" w:hAnsi="宋体" w:eastAsia="宋体" w:cs="宋体"/>
          <w:bCs/>
          <w:caps/>
          <w:smallCaps/>
          <w:color w:val="auto"/>
          <w:sz w:val="32"/>
          <w:szCs w:val="32"/>
          <w:highlight w:val="none"/>
        </w:rPr>
      </w:pPr>
    </w:p>
    <w:p w14:paraId="062F8FCC">
      <w:pPr>
        <w:pStyle w:val="18"/>
        <w:tabs>
          <w:tab w:val="right" w:leader="dot" w:pos="8390"/>
        </w:tabs>
        <w:jc w:val="left"/>
        <w:rPr>
          <w:rFonts w:hint="eastAsia" w:ascii="宋体" w:hAnsi="宋体" w:eastAsia="宋体" w:cs="宋体"/>
          <w:bCs/>
          <w:caps/>
          <w:smallCaps/>
          <w:color w:val="auto"/>
          <w:sz w:val="32"/>
          <w:szCs w:val="32"/>
          <w:highlight w:val="none"/>
        </w:rPr>
      </w:pPr>
    </w:p>
    <w:p w14:paraId="2300340D">
      <w:pPr>
        <w:pStyle w:val="18"/>
        <w:tabs>
          <w:tab w:val="right" w:leader="dot" w:pos="8390"/>
        </w:tabs>
        <w:jc w:val="left"/>
        <w:rPr>
          <w:rFonts w:hint="eastAsia" w:ascii="宋体" w:hAnsi="宋体" w:eastAsia="宋体" w:cs="宋体"/>
          <w:bCs/>
          <w:caps/>
          <w:smallCaps/>
          <w:color w:val="auto"/>
          <w:sz w:val="32"/>
          <w:szCs w:val="32"/>
          <w:highlight w:val="none"/>
        </w:rPr>
      </w:pPr>
    </w:p>
    <w:p w14:paraId="561FACB1">
      <w:pPr>
        <w:pStyle w:val="18"/>
        <w:tabs>
          <w:tab w:val="right" w:leader="dot" w:pos="8390"/>
        </w:tabs>
        <w:jc w:val="left"/>
        <w:rPr>
          <w:rFonts w:hint="eastAsia" w:ascii="宋体" w:hAnsi="宋体" w:eastAsia="宋体" w:cs="宋体"/>
          <w:bCs/>
          <w:caps/>
          <w:smallCaps/>
          <w:color w:val="auto"/>
          <w:sz w:val="32"/>
          <w:szCs w:val="32"/>
          <w:highlight w:val="none"/>
        </w:rPr>
      </w:pPr>
    </w:p>
    <w:p w14:paraId="10582A2C">
      <w:pPr>
        <w:rPr>
          <w:rFonts w:hint="eastAsia" w:ascii="宋体" w:hAnsi="宋体" w:eastAsia="宋体" w:cs="宋体"/>
          <w:b/>
          <w:bCs/>
          <w:caps/>
          <w:color w:val="auto"/>
          <w:sz w:val="24"/>
          <w:szCs w:val="24"/>
          <w:highlight w:val="none"/>
        </w:rPr>
      </w:pPr>
    </w:p>
    <w:p w14:paraId="12BE1E58">
      <w:pPr>
        <w:rPr>
          <w:rFonts w:hint="eastAsia" w:ascii="宋体" w:hAnsi="宋体" w:eastAsia="宋体" w:cs="宋体"/>
          <w:b/>
          <w:bCs/>
          <w:caps/>
          <w:color w:val="auto"/>
          <w:sz w:val="24"/>
          <w:szCs w:val="24"/>
          <w:highlight w:val="none"/>
        </w:rPr>
      </w:pPr>
    </w:p>
    <w:p w14:paraId="48D8BD9A">
      <w:pPr>
        <w:rPr>
          <w:rFonts w:hint="eastAsia" w:ascii="宋体" w:hAnsi="宋体" w:eastAsia="宋体" w:cs="宋体"/>
          <w:b/>
          <w:bCs/>
          <w:caps/>
          <w:color w:val="auto"/>
          <w:sz w:val="24"/>
          <w:szCs w:val="24"/>
          <w:highlight w:val="none"/>
        </w:rPr>
      </w:pPr>
    </w:p>
    <w:p w14:paraId="67A7BCF2">
      <w:pPr>
        <w:rPr>
          <w:rFonts w:hint="eastAsia" w:ascii="宋体" w:hAnsi="宋体" w:eastAsia="宋体" w:cs="宋体"/>
          <w:b/>
          <w:bCs/>
          <w:caps/>
          <w:color w:val="auto"/>
          <w:sz w:val="24"/>
          <w:szCs w:val="24"/>
          <w:highlight w:val="none"/>
        </w:rPr>
      </w:pPr>
    </w:p>
    <w:p w14:paraId="6C6AE177">
      <w:pPr>
        <w:rPr>
          <w:rFonts w:hint="eastAsia" w:ascii="宋体" w:hAnsi="宋体" w:eastAsia="宋体" w:cs="宋体"/>
          <w:b/>
          <w:bCs/>
          <w:caps/>
          <w:color w:val="auto"/>
          <w:sz w:val="24"/>
          <w:szCs w:val="24"/>
          <w:highlight w:val="none"/>
        </w:rPr>
      </w:pPr>
    </w:p>
    <w:p w14:paraId="65EE2665">
      <w:pPr>
        <w:jc w:val="center"/>
        <w:rPr>
          <w:rFonts w:hint="eastAsia" w:ascii="宋体" w:hAnsi="宋体" w:eastAsia="宋体" w:cs="宋体"/>
          <w:b/>
          <w:bCs/>
          <w:caps/>
          <w:color w:val="auto"/>
          <w:sz w:val="24"/>
          <w:szCs w:val="24"/>
          <w:highlight w:val="none"/>
        </w:rPr>
      </w:pPr>
      <w:r>
        <w:rPr>
          <w:rFonts w:hint="eastAsia" w:ascii="宋体" w:hAnsi="宋体" w:eastAsia="宋体" w:cs="宋体"/>
          <w:b/>
          <w:bCs/>
          <w:caps/>
          <w:color w:val="auto"/>
          <w:sz w:val="24"/>
          <w:szCs w:val="24"/>
          <w:highlight w:val="none"/>
        </w:rPr>
        <w:br w:type="page"/>
      </w:r>
    </w:p>
    <w:p w14:paraId="2F05D161">
      <w:pPr>
        <w:pStyle w:val="5"/>
        <w:numPr>
          <w:ilvl w:val="0"/>
          <w:numId w:val="1"/>
        </w:numPr>
        <w:spacing w:before="0" w:after="0" w:line="240" w:lineRule="auto"/>
        <w:ind w:firstLine="0"/>
        <w:rPr>
          <w:rFonts w:hint="eastAsia" w:ascii="宋体" w:hAnsi="宋体" w:eastAsia="宋体" w:cs="宋体"/>
          <w:color w:val="auto"/>
          <w:highlight w:val="none"/>
        </w:rPr>
      </w:pPr>
      <w:bookmarkStart w:id="3" w:name="_Toc28426_WPSOffice_Level1"/>
      <w:bookmarkStart w:id="4" w:name="_Toc20608"/>
      <w:r>
        <w:rPr>
          <w:rFonts w:hint="eastAsia" w:ascii="宋体" w:hAnsi="宋体" w:eastAsia="宋体" w:cs="宋体"/>
          <w:color w:val="auto"/>
          <w:highlight w:val="none"/>
        </w:rPr>
        <w:t xml:space="preserve"> 招标公告</w:t>
      </w:r>
      <w:bookmarkEnd w:id="3"/>
      <w:bookmarkEnd w:id="4"/>
    </w:p>
    <w:p w14:paraId="2AAAE319">
      <w:pPr>
        <w:rPr>
          <w:rFonts w:hint="eastAsia"/>
          <w:color w:val="auto"/>
          <w:highlight w:val="none"/>
        </w:rPr>
      </w:pPr>
    </w:p>
    <w:p w14:paraId="0699DB2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项目概况</w:t>
      </w:r>
    </w:p>
    <w:p w14:paraId="20CA232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 xml:space="preserve"> (项目名称) 项目的潜在投标人应在周口市公共资源交易中心网（http://jyzx.zhoukou.gov.cn）获取招标文件，</w:t>
      </w:r>
      <w:bookmarkStart w:id="5" w:name="_Toc35393790"/>
      <w:bookmarkStart w:id="6" w:name="_Toc28359079"/>
      <w:bookmarkStart w:id="7" w:name="_Toc28359002"/>
      <w:bookmarkStart w:id="8" w:name="_Toc35393621"/>
      <w:bookmarkStart w:id="9" w:name="_Hlk24379207"/>
      <w:r>
        <w:rPr>
          <w:rFonts w:hint="eastAsia" w:ascii="宋体" w:hAnsi="宋体" w:eastAsia="宋体" w:cs="宋体"/>
          <w:i w:val="0"/>
          <w:iCs w:val="0"/>
          <w:color w:val="auto"/>
          <w:sz w:val="24"/>
          <w:szCs w:val="24"/>
          <w:highlight w:val="none"/>
          <w:lang w:val="en-US" w:eastAsia="zh-CN"/>
        </w:rPr>
        <w:t>并于</w:t>
      </w:r>
      <w:r>
        <w:rPr>
          <w:rFonts w:hint="eastAsia" w:ascii="宋体" w:hAnsi="宋体" w:cs="宋体"/>
          <w:i w:val="0"/>
          <w:iCs w:val="0"/>
          <w:color w:val="auto"/>
          <w:sz w:val="24"/>
          <w:szCs w:val="24"/>
          <w:highlight w:val="none"/>
          <w:lang w:val="en-US" w:eastAsia="zh-CN"/>
        </w:rPr>
        <w:t>2025</w:t>
      </w:r>
      <w:r>
        <w:rPr>
          <w:rFonts w:hint="eastAsia" w:ascii="宋体" w:hAnsi="宋体" w:eastAsia="宋体" w:cs="宋体"/>
          <w:i w:val="0"/>
          <w:iCs w:val="0"/>
          <w:color w:val="auto"/>
          <w:sz w:val="24"/>
          <w:szCs w:val="24"/>
          <w:highlight w:val="none"/>
          <w:lang w:val="en-US" w:eastAsia="zh-CN"/>
        </w:rPr>
        <w:t>年</w:t>
      </w:r>
      <w:r>
        <w:rPr>
          <w:rFonts w:hint="eastAsia" w:ascii="宋体" w:hAnsi="宋体" w:cs="宋体"/>
          <w:i w:val="0"/>
          <w:iCs w:val="0"/>
          <w:color w:val="auto"/>
          <w:sz w:val="24"/>
          <w:szCs w:val="24"/>
          <w:highlight w:val="none"/>
          <w:lang w:val="en-US" w:eastAsia="zh-CN"/>
        </w:rPr>
        <w:t>07</w:t>
      </w:r>
      <w:r>
        <w:rPr>
          <w:rFonts w:hint="eastAsia" w:ascii="宋体" w:hAnsi="宋体" w:eastAsia="宋体" w:cs="宋体"/>
          <w:i w:val="0"/>
          <w:iCs w:val="0"/>
          <w:color w:val="auto"/>
          <w:sz w:val="24"/>
          <w:szCs w:val="24"/>
          <w:highlight w:val="none"/>
          <w:lang w:val="en-US" w:eastAsia="zh-CN"/>
        </w:rPr>
        <w:t>月</w:t>
      </w:r>
      <w:r>
        <w:rPr>
          <w:rFonts w:hint="eastAsia" w:ascii="宋体" w:hAnsi="宋体" w:cs="宋体"/>
          <w:i w:val="0"/>
          <w:iCs w:val="0"/>
          <w:color w:val="auto"/>
          <w:sz w:val="24"/>
          <w:szCs w:val="24"/>
          <w:highlight w:val="none"/>
          <w:lang w:val="en-US" w:eastAsia="zh-CN"/>
        </w:rPr>
        <w:t>08</w:t>
      </w:r>
      <w:r>
        <w:rPr>
          <w:rFonts w:hint="eastAsia" w:ascii="宋体" w:hAnsi="宋体" w:eastAsia="宋体" w:cs="宋体"/>
          <w:i w:val="0"/>
          <w:iCs w:val="0"/>
          <w:color w:val="auto"/>
          <w:sz w:val="24"/>
          <w:szCs w:val="24"/>
          <w:highlight w:val="none"/>
          <w:lang w:val="en-US" w:eastAsia="zh-CN"/>
        </w:rPr>
        <w:t>日</w:t>
      </w:r>
      <w:r>
        <w:rPr>
          <w:rFonts w:hint="eastAsia" w:ascii="宋体" w:hAnsi="宋体"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lang w:val="en-US" w:eastAsia="zh-CN"/>
        </w:rPr>
        <w:t>点    分（北京时间）前递交投标文件。</w:t>
      </w:r>
    </w:p>
    <w:p w14:paraId="40B4C82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一、项目基本情况</w:t>
      </w:r>
      <w:bookmarkEnd w:id="5"/>
      <w:bookmarkEnd w:id="6"/>
      <w:bookmarkEnd w:id="7"/>
      <w:bookmarkEnd w:id="8"/>
    </w:p>
    <w:p w14:paraId="292A552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项目编号：</w:t>
      </w:r>
      <w:r>
        <w:rPr>
          <w:rFonts w:hint="eastAsia" w:ascii="宋体" w:hAnsi="宋体" w:eastAsia="宋体" w:cs="宋体"/>
          <w:i w:val="0"/>
          <w:iCs w:val="0"/>
          <w:color w:val="auto"/>
          <w:sz w:val="24"/>
          <w:szCs w:val="24"/>
          <w:highlight w:val="none"/>
          <w:lang w:val="en-US" w:eastAsia="zh-CN"/>
        </w:rPr>
        <w:t>鹿财公开-2025-7</w:t>
      </w:r>
    </w:p>
    <w:p w14:paraId="2EA5C6EF">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rPr>
      </w:pPr>
      <w:r>
        <w:rPr>
          <w:rFonts w:hint="eastAsia" w:ascii="宋体" w:hAnsi="宋体" w:eastAsia="宋体" w:cs="宋体"/>
          <w:i w:val="0"/>
          <w:iCs w:val="0"/>
          <w:color w:val="auto"/>
          <w:sz w:val="24"/>
          <w:szCs w:val="24"/>
          <w:highlight w:val="none"/>
        </w:rPr>
        <w:t>项目名称：</w:t>
      </w:r>
      <w:r>
        <w:rPr>
          <w:rFonts w:hint="eastAsia" w:ascii="宋体" w:hAnsi="宋体" w:cs="宋体"/>
          <w:i w:val="0"/>
          <w:iCs w:val="0"/>
          <w:color w:val="auto"/>
          <w:sz w:val="24"/>
          <w:szCs w:val="24"/>
          <w:highlight w:val="none"/>
          <w:lang w:val="en-US" w:eastAsia="zh-CN"/>
        </w:rPr>
        <w:t>鹿邑县行政审批和政务信息管理局鹿邑县“互联网+政务服务”平台系统集成服务项目</w:t>
      </w:r>
    </w:p>
    <w:bookmarkEnd w:id="9"/>
    <w:p w14:paraId="27451837">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预算金额：827.46万元</w:t>
      </w:r>
      <w:bookmarkStart w:id="223" w:name="_GoBack"/>
      <w:bookmarkEnd w:id="223"/>
    </w:p>
    <w:p w14:paraId="7149ADB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最高限价（如有）：</w:t>
      </w:r>
      <w:r>
        <w:rPr>
          <w:rFonts w:hint="eastAsia" w:ascii="宋体" w:hAnsi="宋体" w:eastAsia="宋体" w:cs="宋体"/>
          <w:i w:val="0"/>
          <w:iCs w:val="0"/>
          <w:color w:val="auto"/>
          <w:sz w:val="24"/>
          <w:szCs w:val="24"/>
          <w:highlight w:val="none"/>
          <w:lang w:val="en-US" w:eastAsia="zh-CN"/>
        </w:rPr>
        <w:t>827.46万</w:t>
      </w:r>
      <w:r>
        <w:rPr>
          <w:rFonts w:hint="eastAsia" w:ascii="宋体" w:hAnsi="宋体" w:eastAsia="宋体" w:cs="宋体"/>
          <w:i w:val="0"/>
          <w:iCs w:val="0"/>
          <w:color w:val="auto"/>
          <w:sz w:val="24"/>
          <w:szCs w:val="24"/>
          <w:highlight w:val="none"/>
        </w:rPr>
        <w:t>元</w:t>
      </w:r>
    </w:p>
    <w:p w14:paraId="709915F7">
      <w:pPr>
        <w:pStyle w:val="9"/>
        <w:adjustRightInd w:val="0"/>
        <w:snapToGrid w:val="0"/>
        <w:spacing w:line="360" w:lineRule="auto"/>
        <w:ind w:firstLine="480" w:firstLineChars="200"/>
        <w:rPr>
          <w:rFonts w:hint="eastAsia"/>
          <w:color w:val="auto"/>
          <w:highlight w:val="none"/>
        </w:rPr>
      </w:pPr>
      <w:r>
        <w:rPr>
          <w:rFonts w:hint="eastAsia" w:ascii="宋体" w:hAnsi="宋体" w:eastAsia="宋体" w:cs="宋体"/>
          <w:color w:val="auto"/>
          <w:kern w:val="0"/>
          <w:sz w:val="24"/>
          <w:szCs w:val="24"/>
          <w:highlight w:val="none"/>
          <w:lang w:val="en-US" w:eastAsia="zh-CN"/>
        </w:rPr>
        <w:t>采购方式：公开招标</w:t>
      </w:r>
    </w:p>
    <w:p w14:paraId="7EEE68F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color w:val="auto"/>
          <w:sz w:val="24"/>
          <w:szCs w:val="24"/>
          <w:highlight w:val="none"/>
        </w:rPr>
        <w:t>包别划分</w:t>
      </w:r>
      <w:r>
        <w:rPr>
          <w:rFonts w:hint="eastAsia" w:ascii="宋体" w:hAnsi="宋体" w:eastAsia="宋体" w:cs="宋体"/>
          <w:i w:val="0"/>
          <w:iCs w:val="0"/>
          <w:color w:val="auto"/>
          <w:sz w:val="24"/>
          <w:szCs w:val="24"/>
          <w:highlight w:val="none"/>
          <w:lang w:val="en-US" w:eastAsia="zh-CN"/>
        </w:rPr>
        <w:t>：</w:t>
      </w:r>
      <w:r>
        <w:rPr>
          <w:rFonts w:hint="eastAsia" w:ascii="宋体" w:hAnsi="宋体" w:eastAsia="宋体" w:cs="宋体"/>
          <w:i w:val="0"/>
          <w:iCs w:val="0"/>
          <w:color w:val="auto"/>
          <w:sz w:val="24"/>
          <w:szCs w:val="24"/>
          <w:highlight w:val="none"/>
          <w:u w:val="single"/>
          <w:lang w:val="en-US" w:eastAsia="zh-CN"/>
        </w:rPr>
        <w:t xml:space="preserve"> 3 </w:t>
      </w:r>
      <w:r>
        <w:rPr>
          <w:rFonts w:hint="eastAsia" w:ascii="宋体" w:hAnsi="宋体" w:eastAsia="宋体" w:cs="宋体"/>
          <w:i w:val="0"/>
          <w:iCs w:val="0"/>
          <w:color w:val="auto"/>
          <w:sz w:val="24"/>
          <w:szCs w:val="24"/>
          <w:highlight w:val="none"/>
          <w:lang w:val="en-US" w:eastAsia="zh-CN"/>
        </w:rPr>
        <w:t>个包</w:t>
      </w:r>
    </w:p>
    <w:tbl>
      <w:tblPr>
        <w:tblStyle w:val="23"/>
        <w:tblpPr w:leftFromText="180" w:rightFromText="180" w:vertAnchor="text" w:horzAnchor="margin" w:tblpXSpec="center" w:tblpY="154"/>
        <w:tblW w:w="786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72"/>
        <w:gridCol w:w="4650"/>
        <w:gridCol w:w="2246"/>
      </w:tblGrid>
      <w:tr w14:paraId="319C0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972" w:type="dxa"/>
            <w:noWrap w:val="0"/>
            <w:vAlign w:val="center"/>
          </w:tcPr>
          <w:p w14:paraId="384C3D22">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包号</w:t>
            </w:r>
          </w:p>
        </w:tc>
        <w:tc>
          <w:tcPr>
            <w:tcW w:w="4650" w:type="dxa"/>
            <w:noWrap w:val="0"/>
            <w:vAlign w:val="center"/>
          </w:tcPr>
          <w:p w14:paraId="52B145CE">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包名称</w:t>
            </w:r>
          </w:p>
        </w:tc>
        <w:tc>
          <w:tcPr>
            <w:tcW w:w="2246" w:type="dxa"/>
            <w:noWrap w:val="0"/>
            <w:vAlign w:val="center"/>
          </w:tcPr>
          <w:p w14:paraId="320E28A6">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包最高限价</w:t>
            </w:r>
            <w:r>
              <w:rPr>
                <w:rFonts w:hint="eastAsia" w:ascii="宋体" w:hAnsi="宋体" w:eastAsia="宋体" w:cs="宋体"/>
                <w:i w:val="0"/>
                <w:iCs w:val="0"/>
                <w:color w:val="auto"/>
                <w:sz w:val="24"/>
                <w:szCs w:val="24"/>
                <w:highlight w:val="none"/>
                <w:lang w:val="en-US" w:eastAsia="zh-CN"/>
              </w:rPr>
              <w:t>万</w:t>
            </w:r>
            <w:r>
              <w:rPr>
                <w:rFonts w:hint="eastAsia" w:ascii="宋体" w:hAnsi="宋体" w:eastAsia="宋体" w:cs="宋体"/>
                <w:i w:val="0"/>
                <w:iCs w:val="0"/>
                <w:color w:val="auto"/>
                <w:sz w:val="24"/>
                <w:szCs w:val="24"/>
                <w:highlight w:val="none"/>
              </w:rPr>
              <w:t>元</w:t>
            </w:r>
          </w:p>
        </w:tc>
      </w:tr>
      <w:tr w14:paraId="15777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1" w:hRule="atLeast"/>
        </w:trPr>
        <w:tc>
          <w:tcPr>
            <w:tcW w:w="972" w:type="dxa"/>
            <w:noWrap w:val="0"/>
            <w:vAlign w:val="center"/>
          </w:tcPr>
          <w:p w14:paraId="66103D4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1</w:t>
            </w:r>
          </w:p>
        </w:tc>
        <w:tc>
          <w:tcPr>
            <w:tcW w:w="4650" w:type="dxa"/>
            <w:noWrap w:val="0"/>
            <w:vAlign w:val="center"/>
          </w:tcPr>
          <w:p w14:paraId="4EA5C2D0">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 xml:space="preserve">硬件设备购置政务服务平台开发及运维服务 </w:t>
            </w:r>
          </w:p>
        </w:tc>
        <w:tc>
          <w:tcPr>
            <w:tcW w:w="2246" w:type="dxa"/>
            <w:noWrap w:val="0"/>
            <w:vAlign w:val="center"/>
          </w:tcPr>
          <w:p w14:paraId="09E82A0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5</w:t>
            </w:r>
            <w:r>
              <w:rPr>
                <w:rFonts w:hint="eastAsia" w:ascii="宋体" w:hAnsi="宋体" w:cs="宋体"/>
                <w:i w:val="0"/>
                <w:iCs w:val="0"/>
                <w:color w:val="auto"/>
                <w:sz w:val="24"/>
                <w:szCs w:val="24"/>
                <w:highlight w:val="none"/>
                <w:lang w:val="en-US" w:eastAsia="zh-CN"/>
              </w:rPr>
              <w:t>78.56</w:t>
            </w:r>
          </w:p>
        </w:tc>
      </w:tr>
      <w:tr w14:paraId="4EE1F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972" w:type="dxa"/>
            <w:noWrap w:val="0"/>
            <w:vAlign w:val="center"/>
          </w:tcPr>
          <w:p w14:paraId="7EC1AB83">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w:t>
            </w:r>
          </w:p>
        </w:tc>
        <w:tc>
          <w:tcPr>
            <w:tcW w:w="4650" w:type="dxa"/>
            <w:noWrap w:val="0"/>
            <w:vAlign w:val="center"/>
          </w:tcPr>
          <w:p w14:paraId="31509D8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lang w:val="en-US" w:eastAsia="zh-CN"/>
              </w:rPr>
              <w:t>周到办鹿邑分厅app开发及服务</w:t>
            </w:r>
          </w:p>
        </w:tc>
        <w:tc>
          <w:tcPr>
            <w:tcW w:w="2246" w:type="dxa"/>
            <w:noWrap w:val="0"/>
            <w:vAlign w:val="center"/>
          </w:tcPr>
          <w:p w14:paraId="45750E9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133.8</w:t>
            </w:r>
          </w:p>
        </w:tc>
      </w:tr>
      <w:tr w14:paraId="110F9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trPr>
        <w:tc>
          <w:tcPr>
            <w:tcW w:w="972" w:type="dxa"/>
            <w:noWrap w:val="0"/>
            <w:vAlign w:val="center"/>
          </w:tcPr>
          <w:p w14:paraId="4379B4B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w:t>
            </w:r>
          </w:p>
        </w:tc>
        <w:tc>
          <w:tcPr>
            <w:tcW w:w="4650" w:type="dxa"/>
            <w:noWrap w:val="0"/>
            <w:vAlign w:val="center"/>
          </w:tcPr>
          <w:p w14:paraId="273467F4">
            <w:pPr>
              <w:keepNext w:val="0"/>
              <w:keepLines w:val="0"/>
              <w:pageBreakBefore w:val="0"/>
              <w:widowControl w:val="0"/>
              <w:kinsoku/>
              <w:wordWrap/>
              <w:overflowPunct/>
              <w:topLinePunct w:val="0"/>
              <w:autoSpaceDE/>
              <w:autoSpaceDN/>
              <w:bidi w:val="0"/>
              <w:adjustRightInd/>
              <w:snapToGrid/>
              <w:spacing w:line="360" w:lineRule="auto"/>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一件事开发及运维服务</w:t>
            </w:r>
          </w:p>
        </w:tc>
        <w:tc>
          <w:tcPr>
            <w:tcW w:w="2246" w:type="dxa"/>
            <w:noWrap w:val="0"/>
            <w:vAlign w:val="center"/>
          </w:tcPr>
          <w:p w14:paraId="425D36F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cs="宋体"/>
                <w:i w:val="0"/>
                <w:iCs w:val="0"/>
                <w:color w:val="auto"/>
                <w:sz w:val="24"/>
                <w:szCs w:val="24"/>
                <w:highlight w:val="none"/>
                <w:lang w:val="en-US" w:eastAsia="zh-CN"/>
              </w:rPr>
              <w:t>115.1</w:t>
            </w:r>
          </w:p>
        </w:tc>
      </w:tr>
    </w:tbl>
    <w:p w14:paraId="4086BDF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采购需求：（包括但不限于标的的名称、数量、简要技术需求或服务要求等）</w:t>
      </w:r>
    </w:p>
    <w:p w14:paraId="3CFFB5D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合同履行期限：</w:t>
      </w:r>
      <w:r>
        <w:rPr>
          <w:rFonts w:hint="eastAsia" w:ascii="宋体" w:hAnsi="宋体" w:eastAsia="宋体" w:cs="宋体"/>
          <w:i w:val="0"/>
          <w:iCs w:val="0"/>
          <w:color w:val="auto"/>
          <w:sz w:val="24"/>
          <w:szCs w:val="24"/>
          <w:highlight w:val="none"/>
          <w:lang w:val="en-US" w:eastAsia="zh-CN"/>
        </w:rPr>
        <w:t>三年</w:t>
      </w:r>
    </w:p>
    <w:p w14:paraId="7BC3466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10" w:name="_Toc28359080"/>
      <w:bookmarkStart w:id="11" w:name="_Toc28359003"/>
      <w:bookmarkStart w:id="12" w:name="_Toc35393622"/>
      <w:bookmarkStart w:id="13" w:name="_Toc35393791"/>
      <w:r>
        <w:rPr>
          <w:rFonts w:hint="eastAsia" w:ascii="宋体" w:hAnsi="宋体" w:eastAsia="宋体" w:cs="宋体"/>
          <w:i w:val="0"/>
          <w:iCs w:val="0"/>
          <w:color w:val="auto"/>
          <w:sz w:val="24"/>
          <w:szCs w:val="24"/>
          <w:highlight w:val="none"/>
        </w:rPr>
        <w:t>是否接受进口产品：</w:t>
      </w:r>
      <w:r>
        <w:rPr>
          <w:rFonts w:hint="eastAsia" w:ascii="宋体" w:hAnsi="宋体" w:eastAsia="宋体" w:cs="宋体"/>
          <w:i w:val="0"/>
          <w:iCs w:val="0"/>
          <w:color w:val="auto"/>
          <w:sz w:val="24"/>
          <w:szCs w:val="24"/>
          <w:highlight w:val="none"/>
          <w:lang w:val="en-US" w:eastAsia="zh-CN"/>
        </w:rPr>
        <w:t>否</w:t>
      </w:r>
      <w:r>
        <w:rPr>
          <w:rFonts w:hint="eastAsia" w:ascii="宋体" w:hAnsi="宋体" w:eastAsia="宋体" w:cs="宋体"/>
          <w:i w:val="0"/>
          <w:iCs w:val="0"/>
          <w:color w:val="auto"/>
          <w:sz w:val="24"/>
          <w:szCs w:val="24"/>
          <w:highlight w:val="none"/>
        </w:rPr>
        <w:t>（是/否）</w:t>
      </w:r>
    </w:p>
    <w:p w14:paraId="3487377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eastAsia="zh-CN"/>
        </w:rPr>
      </w:pPr>
      <w:r>
        <w:rPr>
          <w:rFonts w:hint="eastAsia" w:ascii="宋体" w:hAnsi="宋体" w:eastAsia="宋体" w:cs="宋体"/>
          <w:i w:val="0"/>
          <w:iCs w:val="0"/>
          <w:color w:val="auto"/>
          <w:sz w:val="24"/>
          <w:szCs w:val="24"/>
          <w:highlight w:val="none"/>
        </w:rPr>
        <w:t>本项目是否接受联合体投标</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lang w:val="en-US" w:eastAsia="zh-CN"/>
        </w:rPr>
        <w:t>否</w:t>
      </w:r>
      <w:r>
        <w:rPr>
          <w:rFonts w:hint="eastAsia" w:ascii="宋体" w:hAnsi="宋体" w:eastAsia="宋体" w:cs="宋体"/>
          <w:i w:val="0"/>
          <w:iCs w:val="0"/>
          <w:color w:val="auto"/>
          <w:sz w:val="24"/>
          <w:szCs w:val="24"/>
          <w:highlight w:val="none"/>
        </w:rPr>
        <w:t>（是/否）</w:t>
      </w:r>
    </w:p>
    <w:p w14:paraId="29C4A054">
      <w:pPr>
        <w:keepNext w:val="0"/>
        <w:keepLines w:val="0"/>
        <w:pageBreakBefore w:val="0"/>
        <w:widowControl w:val="0"/>
        <w:kinsoku/>
        <w:wordWrap/>
        <w:overflowPunct/>
        <w:topLinePunct w:val="0"/>
        <w:autoSpaceDE/>
        <w:autoSpaceDN/>
        <w:bidi w:val="0"/>
        <w:adjustRightInd/>
        <w:snapToGrid/>
        <w:spacing w:line="360" w:lineRule="auto"/>
        <w:ind w:left="479" w:leftChars="228" w:firstLine="0" w:firstLineChars="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本项目</w:t>
      </w:r>
      <w:r>
        <w:rPr>
          <w:rFonts w:hint="eastAsia" w:ascii="宋体" w:hAnsi="宋体" w:eastAsia="宋体" w:cs="宋体"/>
          <w:i w:val="0"/>
          <w:iCs w:val="0"/>
          <w:color w:val="auto"/>
          <w:sz w:val="24"/>
          <w:szCs w:val="24"/>
          <w:highlight w:val="none"/>
          <w:lang w:val="en-US" w:eastAsia="zh-CN"/>
        </w:rPr>
        <w:t xml:space="preserve">是否为只面向中小企业采购：否        </w:t>
      </w:r>
    </w:p>
    <w:p w14:paraId="35DE7F83">
      <w:pPr>
        <w:keepNext w:val="0"/>
        <w:keepLines w:val="0"/>
        <w:pageBreakBefore w:val="0"/>
        <w:widowControl w:val="0"/>
        <w:kinsoku/>
        <w:wordWrap/>
        <w:overflowPunct/>
        <w:topLinePunct w:val="0"/>
        <w:autoSpaceDE/>
        <w:autoSpaceDN/>
        <w:bidi w:val="0"/>
        <w:adjustRightInd/>
        <w:snapToGrid/>
        <w:spacing w:line="360" w:lineRule="auto"/>
        <w:ind w:left="479" w:leftChars="228" w:firstLine="0" w:firstLineChars="0"/>
        <w:jc w:val="left"/>
        <w:textAlignment w:val="auto"/>
        <w:rPr>
          <w:rFonts w:hint="default"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必须提供中小企业声明函/否。</w:t>
      </w:r>
    </w:p>
    <w:p w14:paraId="6B107DB2">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二、申请人的资格要求：</w:t>
      </w:r>
      <w:bookmarkEnd w:id="10"/>
      <w:bookmarkEnd w:id="11"/>
      <w:bookmarkEnd w:id="12"/>
      <w:bookmarkEnd w:id="13"/>
    </w:p>
    <w:p w14:paraId="284E03A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color w:val="auto"/>
          <w:sz w:val="24"/>
          <w:szCs w:val="24"/>
          <w:highlight w:val="none"/>
        </w:rPr>
      </w:pPr>
      <w:r>
        <w:rPr>
          <w:rFonts w:hint="eastAsia" w:ascii="宋体" w:hAnsi="宋体" w:eastAsia="宋体" w:cs="宋体"/>
          <w:i w:val="0"/>
          <w:iCs w:val="0"/>
          <w:color w:val="auto"/>
          <w:sz w:val="24"/>
          <w:szCs w:val="24"/>
          <w:highlight w:val="none"/>
        </w:rPr>
        <w:t>1.满足《中华人民共和国政府采购法》第二十二条规定；</w:t>
      </w:r>
    </w:p>
    <w:p w14:paraId="10953E74">
      <w:pPr>
        <w:pStyle w:val="9"/>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（1）具有独立承担民事责任的能力（企业营业执照等证明文件）；</w:t>
      </w:r>
    </w:p>
    <w:p w14:paraId="2AFB72CD">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（2）具有良好的商业信誉和健全的财务会计制度；</w:t>
      </w:r>
      <w:r>
        <w:rPr>
          <w:rFonts w:hint="eastAsia" w:ascii="宋体" w:hAnsi="宋体" w:eastAsia="宋体" w:cs="宋体"/>
          <w:color w:val="auto"/>
          <w:sz w:val="24"/>
          <w:highlight w:val="none"/>
        </w:rPr>
        <w:t>（提供</w:t>
      </w:r>
      <w:r>
        <w:rPr>
          <w:rFonts w:hint="eastAsia" w:ascii="宋体" w:hAnsi="宋体" w:eastAsia="宋体" w:cs="宋体"/>
          <w:color w:val="auto"/>
          <w:sz w:val="24"/>
          <w:highlight w:val="none"/>
          <w:lang w:eastAsia="zh-CN"/>
        </w:rPr>
        <w:t>2023年度或2024年度的财务</w:t>
      </w:r>
      <w:r>
        <w:rPr>
          <w:rFonts w:hint="eastAsia" w:ascii="宋体" w:hAnsi="宋体" w:eastAsia="宋体" w:cs="宋体"/>
          <w:color w:val="auto"/>
          <w:sz w:val="24"/>
          <w:highlight w:val="none"/>
        </w:rPr>
        <w:t>审计报告或银行出具的资信证明，新成立公司以公司成立起点年度为准）</w:t>
      </w:r>
      <w:r>
        <w:rPr>
          <w:rFonts w:hint="eastAsia" w:ascii="宋体" w:hAnsi="宋体" w:eastAsia="宋体" w:cs="宋体"/>
          <w:color w:val="auto"/>
          <w:sz w:val="24"/>
          <w:highlight w:val="none"/>
          <w:lang w:eastAsia="zh-CN"/>
        </w:rPr>
        <w:t>。</w:t>
      </w:r>
    </w:p>
    <w:p w14:paraId="7F3FB099">
      <w:pPr>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（3）具有履行合同所必需的设备和专业技术能力；</w:t>
      </w:r>
      <w:r>
        <w:rPr>
          <w:rFonts w:hint="eastAsia" w:ascii="宋体" w:hAnsi="宋体" w:eastAsia="宋体" w:cs="宋体"/>
          <w:color w:val="auto"/>
          <w:sz w:val="24"/>
          <w:highlight w:val="none"/>
        </w:rPr>
        <w:t>（提供书面声明函，格式自拟）</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 xml:space="preserve"> </w:t>
      </w:r>
    </w:p>
    <w:p w14:paraId="726511AF">
      <w:pPr>
        <w:pStyle w:val="9"/>
        <w:adjustRightInd w:val="0"/>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（4）有依法缴纳税收和社会保障资金的良好记录</w:t>
      </w:r>
      <w:r>
        <w:rPr>
          <w:rFonts w:hint="eastAsia" w:hAnsi="宋体" w:eastAsia="宋体" w:cs="宋体"/>
          <w:color w:val="auto"/>
          <w:sz w:val="24"/>
          <w:szCs w:val="24"/>
          <w:highlight w:val="none"/>
          <w:lang w:eastAsia="zh-CN"/>
        </w:rPr>
        <w:t>。</w:t>
      </w:r>
      <w:r>
        <w:rPr>
          <w:rFonts w:hint="eastAsia" w:ascii="宋体" w:hAnsi="宋体" w:eastAsia="宋体" w:cs="宋体"/>
          <w:color w:val="auto"/>
          <w:sz w:val="24"/>
          <w:highlight w:val="none"/>
        </w:rPr>
        <w:t>（提供开标日期前六个月内连续三个月已依法缴纳税收的凭据；提供开标日期前六个月内连续三个月已依法缴纳社会保险的凭据；依法免税或不需要缴纳社会保障资金的供应商，应提供相应证明文件，新成立的公司从成立之日起）</w:t>
      </w:r>
      <w:r>
        <w:rPr>
          <w:rFonts w:hint="eastAsia" w:ascii="宋体" w:hAnsi="宋体" w:eastAsia="宋体" w:cs="宋体"/>
          <w:color w:val="auto"/>
          <w:sz w:val="24"/>
          <w:highlight w:val="none"/>
          <w:lang w:eastAsia="zh-CN"/>
        </w:rPr>
        <w:t>。</w:t>
      </w:r>
    </w:p>
    <w:p w14:paraId="274BB296">
      <w:pPr>
        <w:pStyle w:val="9"/>
        <w:adjustRightInd w:val="0"/>
        <w:snapToGrid w:val="0"/>
        <w:spacing w:line="360" w:lineRule="auto"/>
        <w:ind w:firstLine="480" w:firstLineChars="200"/>
        <w:rPr>
          <w:rFonts w:hint="eastAsia"/>
          <w:color w:val="auto"/>
          <w:highlight w:val="none"/>
        </w:rPr>
      </w:pPr>
      <w:r>
        <w:rPr>
          <w:rFonts w:hint="eastAsia" w:ascii="宋体" w:hAnsi="宋体" w:eastAsia="宋体" w:cs="宋体"/>
          <w:color w:val="auto"/>
          <w:sz w:val="24"/>
          <w:szCs w:val="24"/>
          <w:highlight w:val="none"/>
        </w:rPr>
        <w:t>（5）参加政府采购活动前三年内，在经营活动中没有重大违法记录（提供没有重大违法记录的书面声明函，格式自拟）；</w:t>
      </w:r>
    </w:p>
    <w:p w14:paraId="7DBDCC95">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bookmarkStart w:id="14" w:name="_Toc28359004"/>
      <w:bookmarkStart w:id="15" w:name="_Toc28359081"/>
      <w:r>
        <w:rPr>
          <w:rFonts w:hint="eastAsia" w:ascii="宋体" w:hAnsi="宋体" w:eastAsia="宋体" w:cs="宋体"/>
          <w:i w:val="0"/>
          <w:iCs w:val="0"/>
          <w:color w:val="auto"/>
          <w:sz w:val="24"/>
          <w:szCs w:val="24"/>
          <w:highlight w:val="none"/>
        </w:rPr>
        <w:t xml:space="preserve">2.落实政府采购政策需满足的资格要求：促进中小企业和监狱企业发展扶持政策、政府强制采购节能产品强制采购、节能产品及环境标志产品优先采购、促进残疾人就业政府采购政策。  </w:t>
      </w:r>
    </w:p>
    <w:p w14:paraId="3D2A94B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3.本项目的特定资格要求：（1）根据《关于在政府采购活动中查询及使用信用记录有关问题的通知》(财库[2016]125号)和豫财购【2016】15号的规定，对列入“信用中国”网站（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"http://www.creditchina.gov.cn/"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www.creditchina.gov.cn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）的“失信被执行人”、“重大税收违法案件当事人名单（</w:t>
      </w:r>
      <w:r>
        <w:rPr>
          <w:rFonts w:hint="eastAsia" w:ascii="宋体" w:hAnsi="宋体" w:eastAsia="宋体" w:cs="宋体"/>
          <w:i w:val="0"/>
          <w:iCs w:val="0"/>
          <w:color w:val="auto"/>
          <w:sz w:val="24"/>
          <w:szCs w:val="24"/>
          <w:highlight w:val="none"/>
          <w:lang w:val="en-US" w:eastAsia="zh-CN"/>
        </w:rPr>
        <w:t>重大税收违法失信主体</w:t>
      </w:r>
      <w:r>
        <w:rPr>
          <w:rFonts w:hint="eastAsia" w:ascii="宋体" w:hAnsi="宋体" w:eastAsia="宋体" w:cs="宋体"/>
          <w:i w:val="0"/>
          <w:iCs w:val="0"/>
          <w:color w:val="auto"/>
          <w:sz w:val="24"/>
          <w:szCs w:val="24"/>
          <w:highlight w:val="none"/>
        </w:rPr>
        <w:t>）”和“中国政府采购”网站(</w:t>
      </w:r>
      <w:r>
        <w:rPr>
          <w:rFonts w:hint="eastAsia" w:ascii="宋体" w:hAnsi="宋体" w:eastAsia="宋体" w:cs="宋体"/>
          <w:i w:val="0"/>
          <w:iCs w:val="0"/>
          <w:color w:val="auto"/>
          <w:sz w:val="24"/>
          <w:szCs w:val="24"/>
          <w:highlight w:val="none"/>
        </w:rPr>
        <w:fldChar w:fldCharType="begin"/>
      </w:r>
      <w:r>
        <w:rPr>
          <w:rFonts w:hint="eastAsia" w:ascii="宋体" w:hAnsi="宋体" w:eastAsia="宋体" w:cs="宋体"/>
          <w:i w:val="0"/>
          <w:iCs w:val="0"/>
          <w:color w:val="auto"/>
          <w:sz w:val="24"/>
          <w:szCs w:val="24"/>
          <w:highlight w:val="none"/>
        </w:rPr>
        <w:instrText xml:space="preserve">HYPERLINK "http://www.ccgp.gov.cn/"</w:instrText>
      </w:r>
      <w:r>
        <w:rPr>
          <w:rFonts w:hint="eastAsia" w:ascii="宋体" w:hAnsi="宋体" w:eastAsia="宋体" w:cs="宋体"/>
          <w:i w:val="0"/>
          <w:iCs w:val="0"/>
          <w:color w:val="auto"/>
          <w:sz w:val="24"/>
          <w:szCs w:val="24"/>
          <w:highlight w:val="none"/>
        </w:rPr>
        <w:fldChar w:fldCharType="separate"/>
      </w:r>
      <w:r>
        <w:rPr>
          <w:rFonts w:hint="eastAsia" w:ascii="宋体" w:hAnsi="宋体" w:eastAsia="宋体" w:cs="宋体"/>
          <w:i w:val="0"/>
          <w:iCs w:val="0"/>
          <w:color w:val="auto"/>
          <w:sz w:val="24"/>
          <w:szCs w:val="24"/>
          <w:highlight w:val="none"/>
        </w:rPr>
        <w:t>www.ccgp.gov.cn</w:t>
      </w:r>
      <w:r>
        <w:rPr>
          <w:rFonts w:hint="eastAsia" w:ascii="宋体" w:hAnsi="宋体" w:eastAsia="宋体" w:cs="宋体"/>
          <w:i w:val="0"/>
          <w:iCs w:val="0"/>
          <w:color w:val="auto"/>
          <w:sz w:val="24"/>
          <w:szCs w:val="24"/>
          <w:highlight w:val="none"/>
        </w:rPr>
        <w:fldChar w:fldCharType="end"/>
      </w:r>
      <w:r>
        <w:rPr>
          <w:rFonts w:hint="eastAsia" w:ascii="宋体" w:hAnsi="宋体" w:eastAsia="宋体" w:cs="宋体"/>
          <w:i w:val="0"/>
          <w:iCs w:val="0"/>
          <w:color w:val="auto"/>
          <w:sz w:val="24"/>
          <w:szCs w:val="24"/>
          <w:highlight w:val="none"/>
        </w:rPr>
        <w:t>)的“政府采购严重违法失信行为记录名单”的供应商，将拒绝其参加政府采购活动；</w:t>
      </w:r>
      <w:r>
        <w:rPr>
          <w:rFonts w:hint="eastAsia" w:ascii="宋体" w:hAnsi="宋体" w:cs="宋体"/>
          <w:bCs/>
          <w:color w:val="auto"/>
          <w:kern w:val="0"/>
          <w:sz w:val="24"/>
          <w:highlight w:val="none"/>
        </w:rPr>
        <w:t>供应商须通过“信用中国”网站（www.creditchina.gov.cn)、“中国执行信息公开网”（zxgk.court.gov.cn）对“列入失信被执行人、重大税收违法案件当事人名单、政府采购严重违法失信行为记录名单”企业和法定代表人的查询，通</w:t>
      </w:r>
      <w:r>
        <w:rPr>
          <w:rFonts w:hint="eastAsia" w:ascii="宋体" w:hAnsi="宋体" w:cs="宋体"/>
          <w:color w:val="auto"/>
          <w:sz w:val="24"/>
          <w:highlight w:val="none"/>
        </w:rPr>
        <w:t>过“中国政府采购网”（www.ccgp.gov.cn）对“政府采购严重违法失信行为信息记录”企业信用记录查询（</w:t>
      </w:r>
      <w:r>
        <w:rPr>
          <w:rFonts w:hint="eastAsia" w:ascii="宋体" w:hAnsi="宋体" w:cs="宋体"/>
          <w:bCs/>
          <w:color w:val="auto"/>
          <w:kern w:val="0"/>
          <w:sz w:val="24"/>
          <w:highlight w:val="none"/>
        </w:rPr>
        <w:t>在投标文件中附加盖公章的网页查询扫描件，查询日期为公告发布之日起至投标截止之日止</w:t>
      </w:r>
      <w:r>
        <w:rPr>
          <w:rFonts w:hint="eastAsia" w:ascii="宋体" w:hAnsi="宋体" w:cs="宋体"/>
          <w:color w:val="auto"/>
          <w:sz w:val="24"/>
          <w:highlight w:val="none"/>
        </w:rPr>
        <w:t>）。</w:t>
      </w:r>
    </w:p>
    <w:p w14:paraId="41D75F51">
      <w:pPr>
        <w:spacing w:line="360" w:lineRule="auto"/>
        <w:ind w:firstLine="480" w:firstLineChars="200"/>
        <w:rPr>
          <w:rFonts w:hint="eastAsia" w:ascii="宋体" w:hAnsi="宋体" w:eastAsia="宋体" w:cs="宋体"/>
          <w:color w:val="auto"/>
          <w:spacing w:val="0"/>
          <w:position w:val="0"/>
          <w:sz w:val="24"/>
          <w:szCs w:val="24"/>
          <w:highlight w:val="none"/>
          <w:shd w:val="clear" w:color="auto" w:fill="auto"/>
        </w:rPr>
      </w:pPr>
      <w:bookmarkStart w:id="16" w:name="_Toc35393792"/>
      <w:bookmarkStart w:id="17" w:name="_Toc35393623"/>
      <w:r>
        <w:rPr>
          <w:rFonts w:hint="eastAsia" w:ascii="宋体" w:hAnsi="宋体" w:eastAsia="宋体" w:cs="宋体"/>
          <w:i w:val="0"/>
          <w:iCs w:val="0"/>
          <w:color w:val="auto"/>
          <w:sz w:val="24"/>
          <w:szCs w:val="24"/>
          <w:highlight w:val="none"/>
          <w:lang w:val="en-US" w:eastAsia="zh-CN"/>
        </w:rPr>
        <w:t>4.</w:t>
      </w:r>
      <w:r>
        <w:rPr>
          <w:rFonts w:hint="eastAsia"/>
          <w:b w:val="0"/>
          <w:bCs/>
          <w:color w:val="auto"/>
          <w:sz w:val="24"/>
          <w:szCs w:val="24"/>
          <w:highlight w:val="none"/>
        </w:rPr>
        <w:t>单位负责人为同一人或者存在控股、管理关系的不同单位，不得参加同一标段投标或者未划分标段的同一招标项目投标。</w:t>
      </w:r>
      <w:r>
        <w:rPr>
          <w:rFonts w:hint="eastAsia" w:ascii="宋体" w:hAnsi="宋体" w:eastAsia="宋体" w:cs="宋体"/>
          <w:color w:val="auto"/>
          <w:spacing w:val="0"/>
          <w:position w:val="0"/>
          <w:sz w:val="24"/>
          <w:szCs w:val="24"/>
          <w:highlight w:val="none"/>
          <w:shd w:val="clear" w:color="auto" w:fill="auto"/>
        </w:rPr>
        <w:t>（提供国家企业信用信息系统查询截图，包括公司基础信息和股东信息，响应文件中提供网站查询截图的扫描件、法定代表人和委托代理人签章并加盖公章。查询时间公告后有效）</w:t>
      </w:r>
    </w:p>
    <w:p w14:paraId="0ABA86FD">
      <w:pPr>
        <w:pStyle w:val="3"/>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 xml:space="preserve">   （注：根据《政府采购法实施条例》释义“银行、保险、石油石化、电力、电信等有行业特殊情况的，取得营业执照的分支机构可以以分公司名义参与投标，但同一上级公司的两个分支机构不得同时参加投标。采购文件中涉及的“法定代表人”在前述特殊行业中即对应为“分支机构负责人”。）</w:t>
      </w:r>
    </w:p>
    <w:p w14:paraId="2CCD8AF4">
      <w:pPr>
        <w:pStyle w:val="2"/>
        <w:rPr>
          <w:rFonts w:hint="default" w:eastAsia="宋体"/>
          <w:color w:val="auto"/>
          <w:highlight w:val="none"/>
          <w:lang w:val="en-US" w:eastAsia="zh-CN"/>
        </w:rPr>
      </w:pPr>
    </w:p>
    <w:p w14:paraId="105477B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三、获取招标文件</w:t>
      </w:r>
      <w:bookmarkEnd w:id="14"/>
      <w:bookmarkEnd w:id="15"/>
      <w:bookmarkEnd w:id="16"/>
      <w:bookmarkEnd w:id="17"/>
    </w:p>
    <w:p w14:paraId="394AA12B">
      <w:pPr>
        <w:spacing w:line="360" w:lineRule="auto"/>
        <w:ind w:firstLine="480" w:firstLineChars="200"/>
        <w:jc w:val="left"/>
        <w:rPr>
          <w:rFonts w:hint="eastAsia" w:ascii="宋体" w:hAnsi="宋体" w:eastAsia="宋体" w:cs="宋体"/>
          <w:color w:val="000000"/>
          <w:sz w:val="24"/>
          <w:szCs w:val="24"/>
          <w:lang w:eastAsia="zh-CN"/>
        </w:rPr>
      </w:pPr>
      <w:r>
        <w:rPr>
          <w:rFonts w:hint="eastAsia" w:ascii="宋体" w:hAnsi="宋体" w:eastAsia="宋体" w:cs="宋体"/>
          <w:i w:val="0"/>
          <w:iCs w:val="0"/>
          <w:color w:val="auto"/>
          <w:sz w:val="24"/>
          <w:szCs w:val="24"/>
          <w:highlight w:val="none"/>
        </w:rPr>
        <w:t>时间：</w:t>
      </w:r>
      <w:r>
        <w:rPr>
          <w:rFonts w:hint="eastAsia" w:ascii="宋体" w:hAnsi="宋体" w:cs="宋体"/>
          <w:i w:val="0"/>
          <w:iCs w:val="0"/>
          <w:color w:val="auto"/>
          <w:sz w:val="24"/>
          <w:szCs w:val="24"/>
          <w:highlight w:val="none"/>
          <w:lang w:val="en-US" w:eastAsia="zh-CN"/>
        </w:rPr>
        <w:t>2025</w:t>
      </w:r>
      <w:r>
        <w:rPr>
          <w:rFonts w:hint="eastAsia" w:ascii="宋体" w:hAnsi="宋体" w:eastAsia="宋体" w:cs="宋体"/>
          <w:i w:val="0"/>
          <w:iCs w:val="0"/>
          <w:color w:val="auto"/>
          <w:sz w:val="24"/>
          <w:szCs w:val="24"/>
          <w:highlight w:val="none"/>
        </w:rPr>
        <w:t>年</w:t>
      </w:r>
      <w:r>
        <w:rPr>
          <w:rFonts w:hint="eastAsia" w:ascii="宋体" w:hAnsi="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月</w:t>
      </w:r>
      <w:r>
        <w:rPr>
          <w:rFonts w:hint="eastAsia" w:ascii="宋体" w:hAnsi="宋体" w:cs="宋体"/>
          <w:i w:val="0"/>
          <w:iCs w:val="0"/>
          <w:color w:val="auto"/>
          <w:sz w:val="24"/>
          <w:szCs w:val="24"/>
          <w:highlight w:val="none"/>
          <w:lang w:val="en-US" w:eastAsia="zh-CN"/>
        </w:rPr>
        <w:t>17</w:t>
      </w:r>
      <w:r>
        <w:rPr>
          <w:rFonts w:hint="eastAsia" w:ascii="宋体" w:hAnsi="宋体" w:eastAsia="宋体" w:cs="宋体"/>
          <w:i w:val="0"/>
          <w:iCs w:val="0"/>
          <w:color w:val="auto"/>
          <w:sz w:val="24"/>
          <w:szCs w:val="24"/>
          <w:highlight w:val="none"/>
        </w:rPr>
        <w:t xml:space="preserve">日至 </w:t>
      </w:r>
      <w:r>
        <w:rPr>
          <w:rFonts w:hint="eastAsia" w:ascii="宋体" w:hAnsi="宋体" w:cs="宋体"/>
          <w:i w:val="0"/>
          <w:iCs w:val="0"/>
          <w:color w:val="auto"/>
          <w:sz w:val="24"/>
          <w:szCs w:val="24"/>
          <w:highlight w:val="none"/>
          <w:lang w:val="en-US" w:eastAsia="zh-CN"/>
        </w:rPr>
        <w:t>2025</w:t>
      </w:r>
      <w:r>
        <w:rPr>
          <w:rFonts w:hint="eastAsia" w:ascii="宋体" w:hAnsi="宋体" w:eastAsia="宋体" w:cs="宋体"/>
          <w:i w:val="0"/>
          <w:iCs w:val="0"/>
          <w:color w:val="auto"/>
          <w:sz w:val="24"/>
          <w:szCs w:val="24"/>
          <w:highlight w:val="none"/>
        </w:rPr>
        <w:t>年</w:t>
      </w:r>
      <w:r>
        <w:rPr>
          <w:rFonts w:hint="eastAsia" w:ascii="宋体" w:hAnsi="宋体" w:cs="宋体"/>
          <w:i w:val="0"/>
          <w:iCs w:val="0"/>
          <w:color w:val="auto"/>
          <w:sz w:val="24"/>
          <w:szCs w:val="24"/>
          <w:highlight w:val="none"/>
          <w:lang w:val="en-US" w:eastAsia="zh-CN"/>
        </w:rPr>
        <w:t>6</w:t>
      </w:r>
      <w:r>
        <w:rPr>
          <w:rFonts w:hint="eastAsia" w:ascii="宋体" w:hAnsi="宋体" w:eastAsia="宋体" w:cs="宋体"/>
          <w:i w:val="0"/>
          <w:iCs w:val="0"/>
          <w:color w:val="auto"/>
          <w:sz w:val="24"/>
          <w:szCs w:val="24"/>
          <w:highlight w:val="none"/>
        </w:rPr>
        <w:t>月</w:t>
      </w:r>
      <w:r>
        <w:rPr>
          <w:rFonts w:hint="eastAsia" w:ascii="宋体" w:hAnsi="宋体" w:cs="宋体"/>
          <w:i w:val="0"/>
          <w:iCs w:val="0"/>
          <w:color w:val="auto"/>
          <w:sz w:val="24"/>
          <w:szCs w:val="24"/>
          <w:highlight w:val="none"/>
          <w:lang w:val="en-US" w:eastAsia="zh-CN"/>
        </w:rPr>
        <w:t>24</w:t>
      </w:r>
      <w:r>
        <w:rPr>
          <w:rFonts w:hint="eastAsia" w:ascii="宋体" w:hAnsi="宋体" w:eastAsia="宋体" w:cs="宋体"/>
          <w:i w:val="0"/>
          <w:iCs w:val="0"/>
          <w:color w:val="auto"/>
          <w:sz w:val="24"/>
          <w:szCs w:val="24"/>
          <w:highlight w:val="none"/>
        </w:rPr>
        <w:t>日</w:t>
      </w:r>
      <w:r>
        <w:rPr>
          <w:rFonts w:hint="eastAsia" w:ascii="宋体" w:hAnsi="宋体" w:cs="宋体"/>
          <w:color w:val="000000"/>
          <w:sz w:val="24"/>
          <w:szCs w:val="24"/>
        </w:rPr>
        <w:t>（北京时间，法定节假日除外）</w:t>
      </w:r>
      <w:r>
        <w:rPr>
          <w:rFonts w:hint="eastAsia" w:ascii="宋体" w:hAnsi="宋体" w:cs="宋体"/>
          <w:color w:val="000000"/>
          <w:sz w:val="24"/>
          <w:szCs w:val="24"/>
          <w:lang w:eastAsia="zh-CN"/>
        </w:rPr>
        <w:t>。</w:t>
      </w:r>
    </w:p>
    <w:p w14:paraId="5242268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地点：周口市公共资源交易</w:t>
      </w:r>
      <w:r>
        <w:rPr>
          <w:rFonts w:hint="eastAsia" w:ascii="宋体" w:hAnsi="宋体" w:eastAsia="宋体" w:cs="宋体"/>
          <w:i w:val="0"/>
          <w:iCs w:val="0"/>
          <w:color w:val="auto"/>
          <w:sz w:val="24"/>
          <w:szCs w:val="24"/>
          <w:highlight w:val="none"/>
          <w:lang w:eastAsia="zh-CN"/>
        </w:rPr>
        <w:t>中心网</w:t>
      </w:r>
      <w:r>
        <w:rPr>
          <w:rFonts w:hint="eastAsia" w:ascii="宋体" w:hAnsi="宋体" w:eastAsia="宋体" w:cs="宋体"/>
          <w:i w:val="0"/>
          <w:iCs w:val="0"/>
          <w:color w:val="auto"/>
          <w:sz w:val="24"/>
          <w:szCs w:val="24"/>
          <w:highlight w:val="none"/>
        </w:rPr>
        <w:t>（http://jyzx.zhoukou.gov.cn）</w:t>
      </w:r>
    </w:p>
    <w:p w14:paraId="41D5F25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方式：供应商</w:t>
      </w:r>
      <w:r>
        <w:rPr>
          <w:rFonts w:hint="eastAsia" w:ascii="宋体" w:hAnsi="宋体" w:eastAsia="宋体" w:cs="宋体"/>
          <w:i w:val="0"/>
          <w:iCs w:val="0"/>
          <w:color w:val="auto"/>
          <w:sz w:val="24"/>
          <w:szCs w:val="24"/>
          <w:highlight w:val="none"/>
          <w:lang w:val="en-US" w:eastAsia="zh-CN"/>
        </w:rPr>
        <w:t>请在网站自主注册后</w:t>
      </w:r>
      <w:r>
        <w:rPr>
          <w:rFonts w:hint="eastAsia" w:ascii="宋体" w:hAnsi="宋体" w:eastAsia="宋体" w:cs="宋体"/>
          <w:i w:val="0"/>
          <w:iCs w:val="0"/>
          <w:color w:val="auto"/>
          <w:sz w:val="24"/>
          <w:szCs w:val="24"/>
          <w:highlight w:val="none"/>
        </w:rPr>
        <w:t>下载采购文件（zkzf格式）及资料</w:t>
      </w:r>
      <w:r>
        <w:rPr>
          <w:rFonts w:hint="eastAsia" w:ascii="宋体" w:hAnsi="宋体" w:eastAsia="宋体" w:cs="宋体"/>
          <w:i w:val="0"/>
          <w:iCs w:val="0"/>
          <w:color w:val="auto"/>
          <w:sz w:val="24"/>
          <w:szCs w:val="24"/>
          <w:highlight w:val="none"/>
          <w:lang w:eastAsia="zh-CN"/>
        </w:rPr>
        <w:t>，</w:t>
      </w:r>
      <w:r>
        <w:rPr>
          <w:rFonts w:hint="eastAsia" w:ascii="宋体" w:hAnsi="宋体" w:eastAsia="宋体" w:cs="宋体"/>
          <w:i w:val="0"/>
          <w:iCs w:val="0"/>
          <w:color w:val="auto"/>
          <w:sz w:val="24"/>
          <w:szCs w:val="24"/>
          <w:highlight w:val="none"/>
        </w:rPr>
        <w:t>需</w:t>
      </w:r>
      <w:r>
        <w:rPr>
          <w:rFonts w:hint="eastAsia" w:ascii="宋体" w:hAnsi="宋体" w:eastAsia="宋体" w:cs="宋体"/>
          <w:i w:val="0"/>
          <w:iCs w:val="0"/>
          <w:color w:val="auto"/>
          <w:sz w:val="24"/>
          <w:szCs w:val="24"/>
          <w:highlight w:val="none"/>
          <w:lang w:val="en-US" w:eastAsia="zh-CN"/>
        </w:rPr>
        <w:t>办理</w:t>
      </w:r>
      <w:r>
        <w:rPr>
          <w:rFonts w:hint="eastAsia" w:ascii="宋体" w:hAnsi="宋体" w:eastAsia="宋体" w:cs="宋体"/>
          <w:i w:val="0"/>
          <w:iCs w:val="0"/>
          <w:color w:val="auto"/>
          <w:sz w:val="24"/>
          <w:szCs w:val="24"/>
          <w:highlight w:val="none"/>
        </w:rPr>
        <w:t>CA数字证书</w:t>
      </w:r>
      <w:r>
        <w:rPr>
          <w:rFonts w:hint="eastAsia" w:ascii="宋体" w:hAnsi="宋体" w:eastAsia="宋体" w:cs="宋体"/>
          <w:i w:val="0"/>
          <w:iCs w:val="0"/>
          <w:color w:val="auto"/>
          <w:sz w:val="24"/>
          <w:szCs w:val="24"/>
          <w:highlight w:val="none"/>
          <w:lang w:val="en-US" w:eastAsia="zh-CN"/>
        </w:rPr>
        <w:t>后方可提交响应文件</w:t>
      </w:r>
      <w:r>
        <w:rPr>
          <w:rFonts w:hint="eastAsia" w:ascii="宋体" w:hAnsi="宋体" w:eastAsia="宋体" w:cs="宋体"/>
          <w:i w:val="0"/>
          <w:iCs w:val="0"/>
          <w:color w:val="auto"/>
          <w:sz w:val="24"/>
          <w:szCs w:val="24"/>
          <w:highlight w:val="none"/>
        </w:rPr>
        <w:t>，具体办理事宜请查阅周口市公共资源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rPr>
        <w:t>网站。</w:t>
      </w:r>
    </w:p>
    <w:p w14:paraId="2F878C7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售价：</w:t>
      </w:r>
      <w:r>
        <w:rPr>
          <w:rFonts w:hint="eastAsia" w:ascii="宋体" w:hAnsi="宋体" w:eastAsia="宋体" w:cs="宋体"/>
          <w:i w:val="0"/>
          <w:iCs w:val="0"/>
          <w:color w:val="auto"/>
          <w:sz w:val="24"/>
          <w:szCs w:val="24"/>
          <w:highlight w:val="none"/>
          <w:lang w:val="en-US" w:eastAsia="zh-CN"/>
        </w:rPr>
        <w:t>0</w:t>
      </w:r>
    </w:p>
    <w:p w14:paraId="1F4A3DE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bookmarkStart w:id="18" w:name="_Toc28359005"/>
      <w:bookmarkStart w:id="19" w:name="_Toc28359082"/>
      <w:bookmarkStart w:id="20" w:name="_Toc35393624"/>
      <w:bookmarkStart w:id="21" w:name="_Toc35393793"/>
      <w:r>
        <w:rPr>
          <w:rFonts w:hint="eastAsia" w:ascii="宋体" w:hAnsi="宋体" w:eastAsia="宋体" w:cs="宋体"/>
          <w:i w:val="0"/>
          <w:iCs w:val="0"/>
          <w:color w:val="auto"/>
          <w:sz w:val="24"/>
          <w:szCs w:val="24"/>
          <w:highlight w:val="none"/>
        </w:rPr>
        <w:t>四、提交投标文件</w:t>
      </w:r>
      <w:bookmarkEnd w:id="18"/>
      <w:bookmarkEnd w:id="19"/>
      <w:r>
        <w:rPr>
          <w:rFonts w:hint="eastAsia" w:ascii="宋体" w:hAnsi="宋体" w:eastAsia="宋体" w:cs="宋体"/>
          <w:i w:val="0"/>
          <w:iCs w:val="0"/>
          <w:color w:val="auto"/>
          <w:sz w:val="24"/>
          <w:szCs w:val="24"/>
          <w:highlight w:val="none"/>
        </w:rPr>
        <w:t>截止时间、开标时间和地点</w:t>
      </w:r>
      <w:bookmarkEnd w:id="20"/>
      <w:bookmarkEnd w:id="21"/>
    </w:p>
    <w:p w14:paraId="6FC8CABA">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时间：</w:t>
      </w:r>
      <w:r>
        <w:rPr>
          <w:rFonts w:hint="eastAsia" w:ascii="宋体" w:hAnsi="宋体" w:cs="宋体"/>
          <w:i w:val="0"/>
          <w:iCs w:val="0"/>
          <w:color w:val="auto"/>
          <w:sz w:val="24"/>
          <w:szCs w:val="24"/>
          <w:highlight w:val="none"/>
          <w:lang w:val="en-US" w:eastAsia="zh-CN"/>
        </w:rPr>
        <w:t>2025</w:t>
      </w:r>
      <w:r>
        <w:rPr>
          <w:rFonts w:hint="eastAsia" w:ascii="宋体" w:hAnsi="宋体" w:eastAsia="宋体" w:cs="宋体"/>
          <w:i w:val="0"/>
          <w:iCs w:val="0"/>
          <w:color w:val="auto"/>
          <w:sz w:val="24"/>
          <w:szCs w:val="24"/>
          <w:highlight w:val="none"/>
        </w:rPr>
        <w:t>年</w:t>
      </w:r>
      <w:r>
        <w:rPr>
          <w:rFonts w:hint="eastAsia" w:ascii="宋体" w:hAnsi="宋体" w:cs="宋体"/>
          <w:i w:val="0"/>
          <w:iCs w:val="0"/>
          <w:color w:val="auto"/>
          <w:sz w:val="24"/>
          <w:szCs w:val="24"/>
          <w:highlight w:val="none"/>
          <w:lang w:val="en-US" w:eastAsia="zh-CN"/>
        </w:rPr>
        <w:t>7</w:t>
      </w:r>
      <w:r>
        <w:rPr>
          <w:rFonts w:hint="eastAsia" w:ascii="宋体" w:hAnsi="宋体" w:eastAsia="宋体" w:cs="宋体"/>
          <w:i w:val="0"/>
          <w:iCs w:val="0"/>
          <w:color w:val="auto"/>
          <w:sz w:val="24"/>
          <w:szCs w:val="24"/>
          <w:highlight w:val="none"/>
        </w:rPr>
        <w:t>月</w:t>
      </w:r>
      <w:r>
        <w:rPr>
          <w:rFonts w:hint="eastAsia" w:ascii="宋体" w:hAnsi="宋体" w:cs="宋体"/>
          <w:i w:val="0"/>
          <w:iCs w:val="0"/>
          <w:color w:val="auto"/>
          <w:sz w:val="24"/>
          <w:szCs w:val="24"/>
          <w:highlight w:val="none"/>
          <w:lang w:val="en-US" w:eastAsia="zh-CN"/>
        </w:rPr>
        <w:t>8</w:t>
      </w:r>
      <w:r>
        <w:rPr>
          <w:rFonts w:hint="eastAsia" w:ascii="宋体" w:hAnsi="宋体" w:eastAsia="宋体" w:cs="宋体"/>
          <w:i w:val="0"/>
          <w:iCs w:val="0"/>
          <w:color w:val="auto"/>
          <w:sz w:val="24"/>
          <w:szCs w:val="24"/>
          <w:highlight w:val="none"/>
        </w:rPr>
        <w:t>日</w:t>
      </w:r>
      <w:r>
        <w:rPr>
          <w:rFonts w:hint="eastAsia" w:ascii="宋体" w:hAnsi="宋体" w:cs="宋体"/>
          <w:i w:val="0"/>
          <w:iCs w:val="0"/>
          <w:color w:val="auto"/>
          <w:sz w:val="24"/>
          <w:szCs w:val="24"/>
          <w:highlight w:val="none"/>
          <w:lang w:val="en-US" w:eastAsia="zh-CN"/>
        </w:rPr>
        <w:t>10</w:t>
      </w:r>
      <w:r>
        <w:rPr>
          <w:rFonts w:hint="eastAsia" w:ascii="宋体" w:hAnsi="宋体" w:eastAsia="宋体" w:cs="宋体"/>
          <w:i w:val="0"/>
          <w:iCs w:val="0"/>
          <w:color w:val="auto"/>
          <w:sz w:val="24"/>
          <w:szCs w:val="24"/>
          <w:highlight w:val="none"/>
        </w:rPr>
        <w:t>点</w:t>
      </w:r>
      <w:r>
        <w:rPr>
          <w:rFonts w:hint="eastAsia" w:ascii="宋体" w:hAnsi="宋体" w:cs="宋体"/>
          <w:i w:val="0"/>
          <w:iCs w:val="0"/>
          <w:color w:val="auto"/>
          <w:sz w:val="24"/>
          <w:szCs w:val="24"/>
          <w:highlight w:val="none"/>
          <w:lang w:val="en-US" w:eastAsia="zh-CN"/>
        </w:rPr>
        <w:t>00</w:t>
      </w:r>
      <w:r>
        <w:rPr>
          <w:rFonts w:hint="eastAsia" w:ascii="宋体" w:hAnsi="宋体" w:eastAsia="宋体" w:cs="宋体"/>
          <w:i w:val="0"/>
          <w:iCs w:val="0"/>
          <w:color w:val="auto"/>
          <w:sz w:val="24"/>
          <w:szCs w:val="24"/>
          <w:highlight w:val="none"/>
        </w:rPr>
        <w:t>分（北京时间）</w:t>
      </w:r>
    </w:p>
    <w:p w14:paraId="72BC727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default" w:ascii="宋体" w:hAnsi="宋体" w:eastAsia="宋体" w:cs="宋体"/>
          <w:i w:val="0"/>
          <w:iCs w:val="0"/>
          <w:color w:val="auto"/>
          <w:sz w:val="24"/>
          <w:szCs w:val="24"/>
          <w:highlight w:val="none"/>
          <w:lang w:val="en-US"/>
        </w:rPr>
      </w:pPr>
      <w:r>
        <w:rPr>
          <w:rFonts w:hint="eastAsia" w:ascii="宋体" w:hAnsi="宋体" w:eastAsia="宋体" w:cs="宋体"/>
          <w:i w:val="0"/>
          <w:iCs w:val="0"/>
          <w:color w:val="auto"/>
          <w:sz w:val="24"/>
          <w:szCs w:val="24"/>
          <w:highlight w:val="none"/>
        </w:rPr>
        <w:t>地点：周口市公共资源</w:t>
      </w:r>
      <w:r>
        <w:rPr>
          <w:rFonts w:hint="eastAsia" w:ascii="宋体" w:hAnsi="宋体" w:eastAsia="宋体" w:cs="宋体"/>
          <w:i w:val="0"/>
          <w:iCs w:val="0"/>
          <w:color w:val="auto"/>
          <w:sz w:val="24"/>
          <w:szCs w:val="24"/>
          <w:highlight w:val="none"/>
          <w:lang w:eastAsia="zh-CN"/>
        </w:rPr>
        <w:t>交易中心</w:t>
      </w:r>
      <w:r>
        <w:rPr>
          <w:rFonts w:hint="eastAsia" w:ascii="宋体" w:hAnsi="宋体" w:eastAsia="宋体" w:cs="宋体"/>
          <w:i w:val="0"/>
          <w:iCs w:val="0"/>
          <w:color w:val="auto"/>
          <w:sz w:val="24"/>
          <w:szCs w:val="24"/>
          <w:highlight w:val="none"/>
          <w:lang w:val="en-US" w:eastAsia="zh-CN"/>
        </w:rPr>
        <w:t>开标室</w:t>
      </w:r>
    </w:p>
    <w:p w14:paraId="75AA8048">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bookmarkStart w:id="22" w:name="_Toc28359084"/>
      <w:bookmarkStart w:id="23" w:name="_Toc35393794"/>
      <w:bookmarkStart w:id="24" w:name="_Toc35393625"/>
      <w:bookmarkStart w:id="25" w:name="_Toc28359007"/>
      <w:r>
        <w:rPr>
          <w:rFonts w:hint="eastAsia" w:ascii="宋体" w:hAnsi="宋体" w:eastAsia="宋体" w:cs="宋体"/>
          <w:i w:val="0"/>
          <w:iCs w:val="0"/>
          <w:color w:val="auto"/>
          <w:sz w:val="24"/>
          <w:szCs w:val="24"/>
          <w:highlight w:val="none"/>
        </w:rPr>
        <w:t>五、公告期限</w:t>
      </w:r>
      <w:bookmarkEnd w:id="22"/>
      <w:bookmarkEnd w:id="23"/>
      <w:bookmarkEnd w:id="24"/>
      <w:bookmarkEnd w:id="25"/>
    </w:p>
    <w:p w14:paraId="36BC329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自本公告发布之日起5个工作日。</w:t>
      </w:r>
    </w:p>
    <w:p w14:paraId="2B524F9B">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bookmarkStart w:id="26" w:name="_Toc35393626"/>
      <w:bookmarkStart w:id="27" w:name="_Toc35393795"/>
      <w:r>
        <w:rPr>
          <w:rFonts w:hint="eastAsia" w:ascii="宋体" w:hAnsi="宋体" w:eastAsia="宋体" w:cs="宋体"/>
          <w:i w:val="0"/>
          <w:iCs w:val="0"/>
          <w:color w:val="auto"/>
          <w:sz w:val="24"/>
          <w:szCs w:val="24"/>
          <w:highlight w:val="none"/>
        </w:rPr>
        <w:t>六、其他补充事宜</w:t>
      </w:r>
      <w:bookmarkEnd w:id="26"/>
      <w:bookmarkEnd w:id="27"/>
    </w:p>
    <w:p w14:paraId="77DF0C0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bookmarkStart w:id="28" w:name="_Toc28359085"/>
      <w:bookmarkStart w:id="29" w:name="_Toc28359008"/>
      <w:bookmarkStart w:id="30" w:name="_Toc35393796"/>
      <w:bookmarkStart w:id="31" w:name="_Toc35393627"/>
      <w:r>
        <w:rPr>
          <w:rFonts w:hint="eastAsia" w:ascii="宋体" w:hAnsi="宋体" w:eastAsia="宋体" w:cs="宋体"/>
          <w:i w:val="0"/>
          <w:iCs w:val="0"/>
          <w:color w:val="auto"/>
          <w:sz w:val="24"/>
          <w:szCs w:val="24"/>
          <w:highlight w:val="none"/>
          <w:lang w:val="en-US" w:eastAsia="zh-CN"/>
        </w:rPr>
        <w:t>无</w:t>
      </w:r>
    </w:p>
    <w:p w14:paraId="4C859E06">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七、对本次招标提出询问，请按以下方式联系。</w:t>
      </w:r>
      <w:bookmarkEnd w:id="28"/>
      <w:bookmarkEnd w:id="29"/>
      <w:bookmarkEnd w:id="30"/>
      <w:bookmarkEnd w:id="31"/>
    </w:p>
    <w:p w14:paraId="3336BE5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rPr>
        <w:t>1.采购</w:t>
      </w:r>
      <w:r>
        <w:rPr>
          <w:rFonts w:hint="eastAsia" w:ascii="宋体" w:hAnsi="宋体" w:eastAsia="宋体" w:cs="宋体"/>
          <w:i w:val="0"/>
          <w:iCs w:val="0"/>
          <w:color w:val="auto"/>
          <w:sz w:val="24"/>
          <w:szCs w:val="24"/>
          <w:highlight w:val="none"/>
          <w:lang w:val="en-US" w:eastAsia="zh-CN"/>
        </w:rPr>
        <w:t>人信息</w:t>
      </w:r>
    </w:p>
    <w:p w14:paraId="72677191">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名称：鹿邑县行政审批和政务信息管理局　　　　　　　　　　　　</w:t>
      </w:r>
    </w:p>
    <w:p w14:paraId="1FFF5EC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地址：鹿邑县行政服务大厅5楼</w:t>
      </w:r>
      <w:r>
        <w:rPr>
          <w:rFonts w:hint="eastAsia" w:ascii="宋体" w:hAnsi="宋体" w:eastAsia="宋体" w:cs="宋体"/>
          <w:i w:val="0"/>
          <w:iCs w:val="0"/>
          <w:color w:val="auto"/>
          <w:sz w:val="24"/>
          <w:szCs w:val="24"/>
          <w:highlight w:val="none"/>
        </w:rPr>
        <w:t>　　　　　　　　　　　　</w:t>
      </w:r>
    </w:p>
    <w:p w14:paraId="12999FC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项目联系人：</w:t>
      </w:r>
      <w:r>
        <w:rPr>
          <w:rFonts w:hint="eastAsia" w:ascii="宋体" w:hAnsi="宋体" w:cs="宋体"/>
          <w:i w:val="0"/>
          <w:iCs w:val="0"/>
          <w:color w:val="auto"/>
          <w:sz w:val="24"/>
          <w:szCs w:val="24"/>
          <w:highlight w:val="none"/>
          <w:lang w:val="en-US" w:eastAsia="zh-CN"/>
        </w:rPr>
        <w:t>费高建</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r>
        <w:rPr>
          <w:rFonts w:hint="eastAsia" w:ascii="宋体" w:hAnsi="宋体" w:cs="宋体"/>
          <w:i w:val="0"/>
          <w:iCs w:val="0"/>
          <w:color w:val="auto"/>
          <w:sz w:val="24"/>
          <w:szCs w:val="24"/>
          <w:highlight w:val="none"/>
          <w:lang w:val="en-US" w:eastAsia="zh-CN"/>
        </w:rPr>
        <w:t>15939419795</w:t>
      </w:r>
      <w:r>
        <w:rPr>
          <w:rFonts w:hint="eastAsia" w:ascii="宋体" w:hAnsi="宋体" w:eastAsia="宋体" w:cs="宋体"/>
          <w:i w:val="0"/>
          <w:iCs w:val="0"/>
          <w:color w:val="auto"/>
          <w:sz w:val="24"/>
          <w:szCs w:val="24"/>
          <w:highlight w:val="none"/>
        </w:rPr>
        <w:t xml:space="preserve">　　　　　　　　　　　 </w:t>
      </w:r>
      <w:bookmarkStart w:id="32" w:name="_Toc28359086"/>
      <w:bookmarkStart w:id="33" w:name="_Toc28359009"/>
    </w:p>
    <w:p w14:paraId="44C868AC">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2.采购代理机构信息</w:t>
      </w:r>
      <w:bookmarkEnd w:id="32"/>
      <w:bookmarkEnd w:id="33"/>
    </w:p>
    <w:p w14:paraId="07216303">
      <w:pPr>
        <w:pStyle w:val="9"/>
        <w:adjustRightInd w:val="0"/>
        <w:snapToGrid w:val="0"/>
        <w:spacing w:line="360" w:lineRule="auto"/>
        <w:ind w:firstLine="480" w:firstLineChars="200"/>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名称：</w:t>
      </w:r>
      <w:r>
        <w:rPr>
          <w:rFonts w:hint="eastAsia" w:ascii="宋体" w:hAnsi="宋体" w:eastAsia="宋体" w:cs="宋体"/>
          <w:color w:val="auto"/>
          <w:sz w:val="24"/>
          <w:szCs w:val="24"/>
          <w:highlight w:val="none"/>
        </w:rPr>
        <w:t>周口市公共资源交易中心政府采购中心</w:t>
      </w:r>
      <w:r>
        <w:rPr>
          <w:rFonts w:hint="eastAsia" w:ascii="宋体" w:hAnsi="宋体" w:eastAsia="宋体" w:cs="宋体"/>
          <w:i w:val="0"/>
          <w:iCs w:val="0"/>
          <w:color w:val="auto"/>
          <w:sz w:val="24"/>
          <w:szCs w:val="24"/>
          <w:highlight w:val="none"/>
        </w:rPr>
        <w:t>　　　　　　　　　　　　</w:t>
      </w:r>
    </w:p>
    <w:p w14:paraId="08FFCF54">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rPr>
        <w:t>地址：周口市光明路与政通路交叉口</w:t>
      </w:r>
      <w:r>
        <w:rPr>
          <w:rFonts w:hint="eastAsia" w:ascii="宋体" w:hAnsi="宋体" w:eastAsia="宋体" w:cs="宋体"/>
          <w:i w:val="0"/>
          <w:iCs w:val="0"/>
          <w:color w:val="auto"/>
          <w:sz w:val="24"/>
          <w:szCs w:val="24"/>
          <w:highlight w:val="none"/>
          <w:lang w:val="en-US" w:eastAsia="zh-CN"/>
        </w:rPr>
        <w:t>向北100米路东</w:t>
      </w:r>
    </w:p>
    <w:p w14:paraId="49622179">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rPr>
      </w:pPr>
      <w:r>
        <w:rPr>
          <w:rFonts w:hint="eastAsia" w:ascii="宋体" w:hAnsi="宋体" w:eastAsia="宋体" w:cs="宋体"/>
          <w:i w:val="0"/>
          <w:iCs w:val="0"/>
          <w:color w:val="auto"/>
          <w:sz w:val="24"/>
          <w:szCs w:val="24"/>
          <w:highlight w:val="none"/>
          <w:lang w:val="en-US" w:eastAsia="zh-CN"/>
        </w:rPr>
        <w:t>项目联系人：</w:t>
      </w:r>
      <w:r>
        <w:rPr>
          <w:rFonts w:hint="eastAsia" w:ascii="宋体" w:hAnsi="宋体" w:cs="宋体"/>
          <w:i w:val="0"/>
          <w:iCs w:val="0"/>
          <w:color w:val="auto"/>
          <w:sz w:val="24"/>
          <w:szCs w:val="24"/>
          <w:highlight w:val="none"/>
          <w:lang w:val="en-US" w:eastAsia="zh-CN"/>
        </w:rPr>
        <w:t>郭战伟</w:t>
      </w:r>
      <w:r>
        <w:rPr>
          <w:rFonts w:hint="eastAsia" w:ascii="宋体" w:hAnsi="宋体" w:eastAsia="宋体" w:cs="宋体"/>
          <w:i w:val="0"/>
          <w:iCs w:val="0"/>
          <w:color w:val="auto"/>
          <w:sz w:val="24"/>
          <w:szCs w:val="24"/>
          <w:highlight w:val="none"/>
          <w:lang w:val="en-US" w:eastAsia="zh-CN"/>
        </w:rPr>
        <w:t xml:space="preserve">    </w:t>
      </w:r>
      <w:r>
        <w:rPr>
          <w:rFonts w:hint="eastAsia" w:ascii="宋体" w:hAnsi="宋体" w:eastAsia="宋体" w:cs="宋体"/>
          <w:i w:val="0"/>
          <w:iCs w:val="0"/>
          <w:color w:val="auto"/>
          <w:sz w:val="24"/>
          <w:szCs w:val="24"/>
          <w:highlight w:val="none"/>
        </w:rPr>
        <w:t>联系方式：</w:t>
      </w:r>
      <w:bookmarkStart w:id="34" w:name="_Toc28359010"/>
      <w:bookmarkStart w:id="35" w:name="_Toc28359087"/>
      <w:r>
        <w:rPr>
          <w:rFonts w:hint="eastAsia" w:ascii="宋体" w:hAnsi="宋体" w:cs="宋体"/>
          <w:i w:val="0"/>
          <w:iCs w:val="0"/>
          <w:color w:val="auto"/>
          <w:sz w:val="24"/>
          <w:szCs w:val="24"/>
          <w:highlight w:val="none"/>
          <w:lang w:val="en-US" w:eastAsia="zh-CN"/>
        </w:rPr>
        <w:t>0394-8106517 19913276009</w:t>
      </w:r>
      <w:r>
        <w:rPr>
          <w:rFonts w:hint="eastAsia" w:ascii="宋体" w:hAnsi="宋体" w:eastAsia="宋体" w:cs="宋体"/>
          <w:i w:val="0"/>
          <w:iCs w:val="0"/>
          <w:color w:val="auto"/>
          <w:sz w:val="24"/>
          <w:szCs w:val="24"/>
          <w:highlight w:val="none"/>
        </w:rPr>
        <w:t>　　　　　　　　</w:t>
      </w:r>
    </w:p>
    <w:bookmarkEnd w:id="34"/>
    <w:bookmarkEnd w:id="35"/>
    <w:p w14:paraId="52AF19BE">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i w:val="0"/>
          <w:iCs w:val="0"/>
          <w:color w:val="auto"/>
          <w:sz w:val="24"/>
          <w:szCs w:val="24"/>
          <w:highlight w:val="none"/>
          <w:lang w:val="en-US" w:eastAsia="zh-CN"/>
        </w:rPr>
      </w:pPr>
      <w:r>
        <w:rPr>
          <w:rFonts w:hint="eastAsia" w:ascii="宋体" w:hAnsi="宋体" w:eastAsia="宋体" w:cs="宋体"/>
          <w:i w:val="0"/>
          <w:iCs w:val="0"/>
          <w:color w:val="auto"/>
          <w:sz w:val="24"/>
          <w:szCs w:val="24"/>
          <w:highlight w:val="none"/>
          <w:lang w:val="en-US" w:eastAsia="zh-CN"/>
        </w:rPr>
        <w:t>3.监督单位：鹿邑县财政局政府采购监督管理科</w:t>
      </w:r>
    </w:p>
    <w:p w14:paraId="0796111F">
      <w:pPr>
        <w:pStyle w:val="26"/>
        <w:ind w:firstLine="480" w:firstLineChars="200"/>
        <w:rPr>
          <w:rFonts w:hint="default"/>
          <w:color w:val="auto"/>
          <w:highlight w:val="none"/>
          <w:lang w:val="en-US" w:eastAsia="zh-CN"/>
        </w:rPr>
      </w:pPr>
      <w:r>
        <w:rPr>
          <w:rFonts w:hint="eastAsia" w:ascii="宋体" w:hAnsi="宋体" w:eastAsia="宋体" w:cs="宋体"/>
          <w:i w:val="0"/>
          <w:iCs w:val="0"/>
          <w:color w:val="auto"/>
          <w:sz w:val="24"/>
          <w:szCs w:val="24"/>
          <w:highlight w:val="none"/>
        </w:rPr>
        <w:t>联系方式：</w:t>
      </w:r>
      <w:r>
        <w:rPr>
          <w:rFonts w:hint="eastAsia" w:ascii="宋体" w:hAnsi="宋体" w:cs="宋体"/>
          <w:i w:val="0"/>
          <w:iCs w:val="0"/>
          <w:color w:val="auto"/>
          <w:sz w:val="24"/>
          <w:szCs w:val="24"/>
          <w:highlight w:val="none"/>
          <w:lang w:val="en-US" w:eastAsia="zh-CN"/>
        </w:rPr>
        <w:t>03947181669</w:t>
      </w:r>
      <w:r>
        <w:rPr>
          <w:rFonts w:hint="eastAsia" w:ascii="宋体" w:hAnsi="宋体" w:eastAsia="宋体" w:cs="宋体"/>
          <w:i w:val="0"/>
          <w:iCs w:val="0"/>
          <w:color w:val="auto"/>
          <w:sz w:val="24"/>
          <w:szCs w:val="24"/>
          <w:highlight w:val="none"/>
          <w:lang w:val="en-US" w:eastAsia="zh-CN"/>
        </w:rPr>
        <w:t xml:space="preserve">  </w:t>
      </w:r>
    </w:p>
    <w:p w14:paraId="026CF943">
      <w:pPr>
        <w:pStyle w:val="26"/>
        <w:numPr>
          <w:ilvl w:val="0"/>
          <w:numId w:val="0"/>
        </w:numPr>
        <w:rPr>
          <w:rFonts w:hint="default"/>
          <w:color w:val="auto"/>
          <w:highlight w:val="none"/>
          <w:lang w:val="en-US" w:eastAsia="zh-CN"/>
        </w:rPr>
      </w:pPr>
    </w:p>
    <w:p w14:paraId="2DC143B0">
      <w:pPr>
        <w:pStyle w:val="17"/>
        <w:adjustRightInd w:val="0"/>
        <w:spacing w:line="360" w:lineRule="auto"/>
        <w:ind w:firstLine="3360" w:firstLineChars="1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周口市公共资源交易中心政府采购中心</w:t>
      </w:r>
    </w:p>
    <w:p w14:paraId="29610BB6">
      <w:pPr>
        <w:pStyle w:val="17"/>
        <w:adjustRightInd w:val="0"/>
        <w:spacing w:line="360" w:lineRule="auto"/>
        <w:ind w:firstLine="4080" w:firstLineChars="1700"/>
        <w:rPr>
          <w:rFonts w:hint="eastAsia" w:ascii="宋体" w:hAnsi="宋体" w:eastAsia="宋体" w:cs="宋体"/>
          <w:color w:val="auto"/>
          <w:highlight w:val="none"/>
        </w:rPr>
      </w:pPr>
      <w:r>
        <w:rPr>
          <w:rFonts w:hint="eastAsia" w:ascii="宋体" w:hAnsi="宋体" w:cs="宋体"/>
          <w:color w:val="auto"/>
          <w:sz w:val="24"/>
          <w:szCs w:val="24"/>
          <w:highlight w:val="none"/>
          <w:lang w:val="en-US" w:eastAsia="zh-CN"/>
        </w:rPr>
        <w:t>2025年6月17日</w:t>
      </w:r>
      <w:r>
        <w:rPr>
          <w:rFonts w:hint="eastAsia" w:ascii="宋体" w:hAnsi="宋体" w:eastAsia="宋体" w:cs="宋体"/>
          <w:i w:val="0"/>
          <w:iCs w:val="0"/>
          <w:color w:val="auto"/>
          <w:sz w:val="24"/>
          <w:szCs w:val="24"/>
          <w:highlight w:val="none"/>
        </w:rPr>
        <w:t>　　</w:t>
      </w:r>
    </w:p>
    <w:p w14:paraId="094F06CA">
      <w:pPr>
        <w:pStyle w:val="5"/>
        <w:ind w:firstLine="0"/>
        <w:rPr>
          <w:rFonts w:hint="eastAsia" w:ascii="宋体" w:hAnsi="宋体" w:eastAsia="宋体" w:cs="宋体"/>
          <w:color w:val="auto"/>
          <w:highlight w:val="none"/>
          <w:lang w:eastAsia="zh-CN"/>
        </w:rPr>
      </w:pPr>
      <w:bookmarkStart w:id="36" w:name="_Hlt510343011"/>
      <w:bookmarkStart w:id="37" w:name="_Hlt510342998"/>
      <w:bookmarkStart w:id="38" w:name="_Toc7329_WPSOffice_Level1"/>
      <w:bookmarkStart w:id="39" w:name="_Toc8586"/>
      <w:r>
        <w:rPr>
          <w:rFonts w:hint="eastAsia" w:ascii="宋体" w:hAnsi="宋体" w:eastAsia="宋体" w:cs="宋体"/>
          <w:color w:val="auto"/>
          <w:highlight w:val="none"/>
        </w:rPr>
        <w:t>第二章 投标人须</w:t>
      </w:r>
      <w:bookmarkEnd w:id="36"/>
      <w:r>
        <w:rPr>
          <w:rFonts w:hint="eastAsia" w:ascii="宋体" w:hAnsi="宋体" w:eastAsia="宋体" w:cs="宋体"/>
          <w:color w:val="auto"/>
          <w:highlight w:val="none"/>
        </w:rPr>
        <w:t>知前</w:t>
      </w:r>
      <w:bookmarkEnd w:id="37"/>
      <w:r>
        <w:rPr>
          <w:rFonts w:hint="eastAsia" w:ascii="宋体" w:hAnsi="宋体" w:eastAsia="宋体" w:cs="宋体"/>
          <w:color w:val="auto"/>
          <w:highlight w:val="none"/>
        </w:rPr>
        <w:t>附表</w:t>
      </w:r>
      <w:bookmarkEnd w:id="38"/>
      <w:bookmarkEnd w:id="39"/>
    </w:p>
    <w:tbl>
      <w:tblPr>
        <w:tblStyle w:val="23"/>
        <w:tblW w:w="101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2833"/>
        <w:gridCol w:w="6519"/>
      </w:tblGrid>
      <w:tr w14:paraId="68BD3D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4" w:hRule="atLeast"/>
          <w:tblHeader/>
          <w:jc w:val="center"/>
        </w:trPr>
        <w:tc>
          <w:tcPr>
            <w:tcW w:w="788" w:type="dxa"/>
            <w:noWrap w:val="0"/>
            <w:vAlign w:val="center"/>
          </w:tcPr>
          <w:p w14:paraId="4720D64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833" w:type="dxa"/>
            <w:noWrap w:val="0"/>
            <w:vAlign w:val="center"/>
          </w:tcPr>
          <w:p w14:paraId="47CF815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内容</w:t>
            </w:r>
          </w:p>
        </w:tc>
        <w:tc>
          <w:tcPr>
            <w:tcW w:w="6519" w:type="dxa"/>
            <w:noWrap w:val="0"/>
            <w:vAlign w:val="center"/>
          </w:tcPr>
          <w:p w14:paraId="3B0D114E">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说明与要求</w:t>
            </w:r>
          </w:p>
        </w:tc>
      </w:tr>
      <w:tr w14:paraId="3CA24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0" w:hRule="atLeast"/>
          <w:tblHeader/>
          <w:jc w:val="center"/>
        </w:trPr>
        <w:tc>
          <w:tcPr>
            <w:tcW w:w="788" w:type="dxa"/>
            <w:noWrap w:val="0"/>
            <w:vAlign w:val="center"/>
          </w:tcPr>
          <w:p w14:paraId="1064088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833" w:type="dxa"/>
            <w:noWrap w:val="0"/>
            <w:vAlign w:val="center"/>
          </w:tcPr>
          <w:p w14:paraId="23FD46A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w:t>
            </w:r>
          </w:p>
        </w:tc>
        <w:tc>
          <w:tcPr>
            <w:tcW w:w="6519" w:type="dxa"/>
            <w:noWrap w:val="0"/>
            <w:vAlign w:val="center"/>
          </w:tcPr>
          <w:p w14:paraId="68640C50">
            <w:pPr>
              <w:rPr>
                <w:rFonts w:hint="eastAsia" w:ascii="宋体" w:hAnsi="宋体" w:eastAsia="宋体" w:cs="宋体"/>
                <w:color w:val="auto"/>
                <w:sz w:val="24"/>
                <w:szCs w:val="24"/>
                <w:highlight w:val="none"/>
              </w:rPr>
            </w:pPr>
            <w:r>
              <w:rPr>
                <w:rFonts w:hint="eastAsia" w:ascii="宋体" w:hAnsi="宋体" w:eastAsia="宋体" w:cs="宋体"/>
                <w:i w:val="0"/>
                <w:iCs w:val="0"/>
                <w:color w:val="auto"/>
                <w:sz w:val="24"/>
                <w:szCs w:val="24"/>
                <w:highlight w:val="none"/>
                <w:lang w:val="en-US" w:eastAsia="zh-CN"/>
              </w:rPr>
              <w:t>鹿邑县行政审批和政务信息管理局　</w:t>
            </w:r>
          </w:p>
        </w:tc>
      </w:tr>
      <w:tr w14:paraId="728EE5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7" w:hRule="atLeast"/>
          <w:tblHeader/>
          <w:jc w:val="center"/>
        </w:trPr>
        <w:tc>
          <w:tcPr>
            <w:tcW w:w="788" w:type="dxa"/>
            <w:noWrap w:val="0"/>
            <w:vAlign w:val="center"/>
          </w:tcPr>
          <w:p w14:paraId="4AF160B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833" w:type="dxa"/>
            <w:noWrap w:val="0"/>
            <w:vAlign w:val="center"/>
          </w:tcPr>
          <w:p w14:paraId="76B7BF93">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委托人</w:t>
            </w:r>
          </w:p>
        </w:tc>
        <w:tc>
          <w:tcPr>
            <w:tcW w:w="6519" w:type="dxa"/>
            <w:noWrap w:val="0"/>
            <w:vAlign w:val="center"/>
          </w:tcPr>
          <w:p w14:paraId="5DDAD75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周口市公共资源交易中心政府采购中心</w:t>
            </w:r>
            <w:r>
              <w:rPr>
                <w:rFonts w:hint="eastAsia" w:ascii="宋体" w:hAnsi="宋体" w:eastAsia="宋体" w:cs="宋体"/>
                <w:i w:val="0"/>
                <w:iCs w:val="0"/>
                <w:color w:val="auto"/>
                <w:sz w:val="24"/>
                <w:szCs w:val="24"/>
                <w:highlight w:val="none"/>
              </w:rPr>
              <w:t>　</w:t>
            </w:r>
          </w:p>
        </w:tc>
      </w:tr>
      <w:tr w14:paraId="2BF04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73A9635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p>
        </w:tc>
        <w:tc>
          <w:tcPr>
            <w:tcW w:w="2833" w:type="dxa"/>
            <w:noWrap w:val="0"/>
            <w:vAlign w:val="center"/>
          </w:tcPr>
          <w:p w14:paraId="5843D29B">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采购代理机构</w:t>
            </w:r>
          </w:p>
        </w:tc>
        <w:tc>
          <w:tcPr>
            <w:tcW w:w="6519" w:type="dxa"/>
            <w:noWrap w:val="0"/>
            <w:vAlign w:val="center"/>
          </w:tcPr>
          <w:p w14:paraId="3FCA94B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名  称：周口市公共资源交易中心政府采购中心</w:t>
            </w:r>
          </w:p>
          <w:p w14:paraId="48137BB7">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地  址：</w:t>
            </w:r>
            <w:r>
              <w:rPr>
                <w:rFonts w:hint="eastAsia" w:ascii="宋体" w:hAnsi="宋体" w:eastAsia="宋体" w:cs="宋体"/>
                <w:i w:val="0"/>
                <w:iCs w:val="0"/>
                <w:color w:val="auto"/>
                <w:sz w:val="24"/>
                <w:szCs w:val="24"/>
                <w:highlight w:val="none"/>
              </w:rPr>
              <w:t>周口市光明路与政通路交叉口</w:t>
            </w:r>
            <w:r>
              <w:rPr>
                <w:rFonts w:hint="eastAsia" w:ascii="宋体" w:hAnsi="宋体" w:eastAsia="宋体" w:cs="宋体"/>
                <w:i w:val="0"/>
                <w:iCs w:val="0"/>
                <w:color w:val="auto"/>
                <w:sz w:val="24"/>
                <w:szCs w:val="24"/>
                <w:highlight w:val="none"/>
                <w:lang w:val="en-US" w:eastAsia="zh-CN"/>
              </w:rPr>
              <w:t>向北100米路东</w:t>
            </w:r>
          </w:p>
        </w:tc>
      </w:tr>
      <w:tr w14:paraId="6B05A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04D6629B">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p>
        </w:tc>
        <w:tc>
          <w:tcPr>
            <w:tcW w:w="2833" w:type="dxa"/>
            <w:noWrap w:val="0"/>
            <w:vAlign w:val="center"/>
          </w:tcPr>
          <w:p w14:paraId="4F91592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项目名称</w:t>
            </w:r>
          </w:p>
        </w:tc>
        <w:tc>
          <w:tcPr>
            <w:tcW w:w="6519" w:type="dxa"/>
            <w:noWrap w:val="0"/>
            <w:vAlign w:val="center"/>
          </w:tcPr>
          <w:p w14:paraId="6D755E4F">
            <w:pPr>
              <w:rPr>
                <w:rFonts w:hint="default" w:ascii="宋体" w:hAnsi="宋体" w:eastAsia="宋体" w:cs="宋体"/>
                <w:color w:val="auto"/>
                <w:sz w:val="24"/>
                <w:szCs w:val="24"/>
                <w:highlight w:val="none"/>
                <w:lang w:val="en-US"/>
              </w:rPr>
            </w:pPr>
            <w:r>
              <w:rPr>
                <w:rFonts w:hint="eastAsia" w:ascii="宋体" w:hAnsi="宋体" w:cs="宋体"/>
                <w:color w:val="auto"/>
                <w:sz w:val="24"/>
                <w:szCs w:val="24"/>
                <w:highlight w:val="none"/>
                <w:lang w:val="en-US" w:eastAsia="zh-CN"/>
              </w:rPr>
              <w:t>鹿邑县行政审批和政务信息管理局鹿邑县“互联网+政务服务”平台系统集成服务项目</w:t>
            </w:r>
          </w:p>
          <w:p w14:paraId="2570F00C">
            <w:pPr>
              <w:rPr>
                <w:rFonts w:hint="eastAsia" w:ascii="宋体" w:hAnsi="宋体" w:eastAsia="宋体" w:cs="宋体"/>
                <w:color w:val="auto"/>
                <w:sz w:val="24"/>
                <w:szCs w:val="24"/>
                <w:highlight w:val="none"/>
              </w:rPr>
            </w:pPr>
          </w:p>
        </w:tc>
      </w:tr>
      <w:tr w14:paraId="5CB99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64B91BC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w:t>
            </w:r>
          </w:p>
        </w:tc>
        <w:tc>
          <w:tcPr>
            <w:tcW w:w="2833" w:type="dxa"/>
            <w:noWrap w:val="0"/>
            <w:vAlign w:val="center"/>
          </w:tcPr>
          <w:p w14:paraId="56BA434B">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项目编号</w:t>
            </w:r>
          </w:p>
        </w:tc>
        <w:tc>
          <w:tcPr>
            <w:tcW w:w="6519" w:type="dxa"/>
            <w:noWrap w:val="0"/>
            <w:vAlign w:val="center"/>
          </w:tcPr>
          <w:p w14:paraId="2607A759">
            <w:pP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鹿财公开-2025-7</w:t>
            </w:r>
          </w:p>
        </w:tc>
      </w:tr>
      <w:tr w14:paraId="79AD21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66637410">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6</w:t>
            </w:r>
          </w:p>
        </w:tc>
        <w:tc>
          <w:tcPr>
            <w:tcW w:w="2833" w:type="dxa"/>
            <w:noWrap w:val="0"/>
            <w:vAlign w:val="center"/>
          </w:tcPr>
          <w:p w14:paraId="7B679AE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项目性质</w:t>
            </w:r>
          </w:p>
        </w:tc>
        <w:tc>
          <w:tcPr>
            <w:tcW w:w="6519" w:type="dxa"/>
            <w:noWrap w:val="0"/>
            <w:vAlign w:val="center"/>
          </w:tcPr>
          <w:p w14:paraId="6966B0C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rPr>
              <w:t>类</w:t>
            </w:r>
          </w:p>
        </w:tc>
      </w:tr>
      <w:tr w14:paraId="197F8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21BF432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7</w:t>
            </w:r>
          </w:p>
        </w:tc>
        <w:tc>
          <w:tcPr>
            <w:tcW w:w="2833" w:type="dxa"/>
            <w:noWrap w:val="0"/>
            <w:vAlign w:val="center"/>
          </w:tcPr>
          <w:p w14:paraId="7FC0152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资金来源</w:t>
            </w:r>
          </w:p>
        </w:tc>
        <w:tc>
          <w:tcPr>
            <w:tcW w:w="6519" w:type="dxa"/>
            <w:noWrap w:val="0"/>
            <w:vAlign w:val="center"/>
          </w:tcPr>
          <w:p w14:paraId="4B37E4D7">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财政资金</w:t>
            </w:r>
          </w:p>
        </w:tc>
      </w:tr>
      <w:tr w14:paraId="35A13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5" w:hRule="atLeast"/>
          <w:tblHeader/>
          <w:jc w:val="center"/>
        </w:trPr>
        <w:tc>
          <w:tcPr>
            <w:tcW w:w="788" w:type="dxa"/>
            <w:noWrap w:val="0"/>
            <w:vAlign w:val="center"/>
          </w:tcPr>
          <w:p w14:paraId="10E5CC8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8</w:t>
            </w:r>
          </w:p>
        </w:tc>
        <w:tc>
          <w:tcPr>
            <w:tcW w:w="2833" w:type="dxa"/>
            <w:noWrap w:val="0"/>
            <w:vAlign w:val="top"/>
          </w:tcPr>
          <w:p w14:paraId="7E2D10F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包别划分</w:t>
            </w:r>
          </w:p>
        </w:tc>
        <w:tc>
          <w:tcPr>
            <w:tcW w:w="6519" w:type="dxa"/>
            <w:noWrap w:val="0"/>
            <w:vAlign w:val="center"/>
          </w:tcPr>
          <w:p w14:paraId="5144A47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本次招标为</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个包</w:t>
            </w:r>
          </w:p>
        </w:tc>
      </w:tr>
      <w:tr w14:paraId="396557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4A3CF01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9</w:t>
            </w:r>
          </w:p>
        </w:tc>
        <w:tc>
          <w:tcPr>
            <w:tcW w:w="2833" w:type="dxa"/>
            <w:noWrap w:val="0"/>
            <w:vAlign w:val="center"/>
          </w:tcPr>
          <w:p w14:paraId="3770AA9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付款方式</w:t>
            </w:r>
          </w:p>
        </w:tc>
        <w:tc>
          <w:tcPr>
            <w:tcW w:w="6519" w:type="dxa"/>
            <w:noWrap w:val="0"/>
            <w:vAlign w:val="center"/>
          </w:tcPr>
          <w:p w14:paraId="4A154B64">
            <w:pPr>
              <w:pStyle w:val="21"/>
              <w:ind w:left="0" w:leftChars="0" w:right="-21" w:firstLine="0" w:firstLineChars="0"/>
              <w:rPr>
                <w:rFonts w:hint="default"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按年支付</w:t>
            </w:r>
          </w:p>
        </w:tc>
      </w:tr>
      <w:tr w14:paraId="34678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7" w:hRule="atLeast"/>
          <w:tblHeader/>
          <w:jc w:val="center"/>
        </w:trPr>
        <w:tc>
          <w:tcPr>
            <w:tcW w:w="788" w:type="dxa"/>
            <w:noWrap w:val="0"/>
            <w:vAlign w:val="center"/>
          </w:tcPr>
          <w:p w14:paraId="19004CB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10</w:t>
            </w:r>
          </w:p>
        </w:tc>
        <w:tc>
          <w:tcPr>
            <w:tcW w:w="2833" w:type="dxa"/>
            <w:noWrap w:val="0"/>
            <w:vAlign w:val="center"/>
          </w:tcPr>
          <w:p w14:paraId="0D90DF65">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联合体投标</w:t>
            </w:r>
          </w:p>
        </w:tc>
        <w:tc>
          <w:tcPr>
            <w:tcW w:w="6519" w:type="dxa"/>
            <w:noWrap w:val="0"/>
            <w:vAlign w:val="center"/>
          </w:tcPr>
          <w:p w14:paraId="2F7C599A">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不允许</w:t>
            </w:r>
          </w:p>
        </w:tc>
      </w:tr>
      <w:tr w14:paraId="2A5BF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blHeader/>
          <w:jc w:val="center"/>
        </w:trPr>
        <w:tc>
          <w:tcPr>
            <w:tcW w:w="788" w:type="dxa"/>
            <w:noWrap w:val="0"/>
            <w:vAlign w:val="center"/>
          </w:tcPr>
          <w:p w14:paraId="5EB64E6F">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w:t>
            </w:r>
          </w:p>
        </w:tc>
        <w:tc>
          <w:tcPr>
            <w:tcW w:w="2833" w:type="dxa"/>
            <w:noWrap w:val="0"/>
            <w:vAlign w:val="center"/>
          </w:tcPr>
          <w:p w14:paraId="21A0BBC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投标有效期</w:t>
            </w:r>
          </w:p>
        </w:tc>
        <w:tc>
          <w:tcPr>
            <w:tcW w:w="6519" w:type="dxa"/>
            <w:noWrap w:val="0"/>
            <w:vAlign w:val="center"/>
          </w:tcPr>
          <w:p w14:paraId="1D00EC3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开标后60天</w:t>
            </w:r>
          </w:p>
        </w:tc>
      </w:tr>
      <w:tr w14:paraId="229CE3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noWrap w:val="0"/>
            <w:vAlign w:val="center"/>
          </w:tcPr>
          <w:p w14:paraId="04B824B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w:t>
            </w:r>
          </w:p>
        </w:tc>
        <w:tc>
          <w:tcPr>
            <w:tcW w:w="2833" w:type="dxa"/>
            <w:noWrap w:val="0"/>
            <w:vAlign w:val="center"/>
          </w:tcPr>
          <w:p w14:paraId="480F1A77">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rPr>
              <w:t>地点</w:t>
            </w:r>
          </w:p>
        </w:tc>
        <w:tc>
          <w:tcPr>
            <w:tcW w:w="6519" w:type="dxa"/>
            <w:noWrap w:val="0"/>
            <w:vAlign w:val="center"/>
          </w:tcPr>
          <w:p w14:paraId="1D35373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采购人指定地点</w:t>
            </w:r>
          </w:p>
        </w:tc>
      </w:tr>
      <w:tr w14:paraId="63FF5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noWrap w:val="0"/>
            <w:vAlign w:val="center"/>
          </w:tcPr>
          <w:p w14:paraId="3A90EF8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13</w:t>
            </w:r>
          </w:p>
        </w:tc>
        <w:tc>
          <w:tcPr>
            <w:tcW w:w="2833" w:type="dxa"/>
            <w:noWrap w:val="0"/>
            <w:vAlign w:val="center"/>
          </w:tcPr>
          <w:p w14:paraId="57825550">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服务</w:t>
            </w:r>
            <w:r>
              <w:rPr>
                <w:rFonts w:hint="eastAsia" w:ascii="宋体" w:hAnsi="宋体" w:eastAsia="宋体" w:cs="宋体"/>
                <w:color w:val="auto"/>
                <w:sz w:val="24"/>
                <w:szCs w:val="24"/>
                <w:highlight w:val="none"/>
              </w:rPr>
              <w:t>期限</w:t>
            </w:r>
          </w:p>
        </w:tc>
        <w:tc>
          <w:tcPr>
            <w:tcW w:w="6519" w:type="dxa"/>
            <w:noWrap w:val="0"/>
            <w:vAlign w:val="center"/>
          </w:tcPr>
          <w:p w14:paraId="4E80D690">
            <w:pP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3年</w:t>
            </w:r>
          </w:p>
        </w:tc>
      </w:tr>
      <w:tr w14:paraId="30969B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53290BB1">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4</w:t>
            </w:r>
          </w:p>
        </w:tc>
        <w:tc>
          <w:tcPr>
            <w:tcW w:w="2833" w:type="dxa"/>
            <w:noWrap w:val="0"/>
            <w:vAlign w:val="center"/>
          </w:tcPr>
          <w:p w14:paraId="1404F827">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投标保证金金额</w:t>
            </w:r>
          </w:p>
        </w:tc>
        <w:tc>
          <w:tcPr>
            <w:tcW w:w="6519" w:type="dxa"/>
            <w:noWrap w:val="0"/>
            <w:vAlign w:val="center"/>
          </w:tcPr>
          <w:p w14:paraId="191123B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不需要缴纳投标保证金</w:t>
            </w:r>
          </w:p>
        </w:tc>
      </w:tr>
      <w:tr w14:paraId="1FF5D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noWrap w:val="0"/>
            <w:vAlign w:val="center"/>
          </w:tcPr>
          <w:p w14:paraId="74938AB2">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5</w:t>
            </w:r>
          </w:p>
        </w:tc>
        <w:tc>
          <w:tcPr>
            <w:tcW w:w="2833" w:type="dxa"/>
            <w:noWrap w:val="0"/>
            <w:vAlign w:val="center"/>
          </w:tcPr>
          <w:p w14:paraId="44CB8A60">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答疑</w:t>
            </w:r>
          </w:p>
        </w:tc>
        <w:tc>
          <w:tcPr>
            <w:tcW w:w="6519" w:type="dxa"/>
            <w:noWrap w:val="0"/>
            <w:vAlign w:val="center"/>
          </w:tcPr>
          <w:p w14:paraId="02C5ADA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疑问的提出与答疑获取详见招标文件第二部分第五章投标人须知第36条。</w:t>
            </w:r>
          </w:p>
          <w:p w14:paraId="67A03413">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周口市公共资源交易中心政府采购中心对招标文件进行的澄清、更正或更改，将在网站上及时发布，该公告内容为招标文件的组成部分，对投标人具有同样约束力效力。投标人应主动上网查询。周口市公共资源交易中心政府采购中心不承担投标人未及时关注相关信息引发的相关责任。</w:t>
            </w:r>
          </w:p>
        </w:tc>
      </w:tr>
      <w:tr w14:paraId="304D7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82" w:hRule="atLeast"/>
          <w:tblHeader/>
          <w:jc w:val="center"/>
        </w:trPr>
        <w:tc>
          <w:tcPr>
            <w:tcW w:w="788" w:type="dxa"/>
            <w:noWrap w:val="0"/>
            <w:vAlign w:val="center"/>
          </w:tcPr>
          <w:p w14:paraId="7FEDDF06">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6</w:t>
            </w:r>
          </w:p>
        </w:tc>
        <w:tc>
          <w:tcPr>
            <w:tcW w:w="2833" w:type="dxa"/>
            <w:noWrap w:val="0"/>
            <w:vAlign w:val="center"/>
          </w:tcPr>
          <w:p w14:paraId="34F5748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勘察现场</w:t>
            </w:r>
          </w:p>
        </w:tc>
        <w:tc>
          <w:tcPr>
            <w:tcW w:w="6519" w:type="dxa"/>
            <w:noWrap w:val="0"/>
            <w:vAlign w:val="center"/>
          </w:tcPr>
          <w:p w14:paraId="16EAEC79">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采购人不组织，响应人自行决定。</w:t>
            </w:r>
          </w:p>
        </w:tc>
      </w:tr>
      <w:tr w14:paraId="6BB04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atLeast"/>
          <w:tblHeader/>
          <w:jc w:val="center"/>
        </w:trPr>
        <w:tc>
          <w:tcPr>
            <w:tcW w:w="788" w:type="dxa"/>
            <w:noWrap w:val="0"/>
            <w:vAlign w:val="center"/>
          </w:tcPr>
          <w:p w14:paraId="5E5BB193">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7</w:t>
            </w:r>
          </w:p>
        </w:tc>
        <w:tc>
          <w:tcPr>
            <w:tcW w:w="2833" w:type="dxa"/>
            <w:noWrap w:val="0"/>
            <w:vAlign w:val="center"/>
          </w:tcPr>
          <w:p w14:paraId="3084BAA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投标文件</w:t>
            </w:r>
          </w:p>
        </w:tc>
        <w:tc>
          <w:tcPr>
            <w:tcW w:w="6519" w:type="dxa"/>
            <w:noWrap w:val="0"/>
            <w:vAlign w:val="center"/>
          </w:tcPr>
          <w:p w14:paraId="6D53448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1、投标文件为使用周口市公共资源交易中心提供的电子标书制作工具软件（</w:t>
            </w:r>
            <w:r>
              <w:rPr>
                <w:rFonts w:hint="eastAsia" w:ascii="宋体" w:hAnsi="宋体" w:eastAsia="宋体" w:cs="宋体"/>
                <w:color w:val="auto"/>
                <w:highlight w:val="none"/>
              </w:rPr>
              <w:t>http://jyzx.zhoukou.gov.cn</w:t>
            </w:r>
            <w:r>
              <w:rPr>
                <w:rFonts w:hint="eastAsia" w:ascii="宋体" w:hAnsi="宋体" w:eastAsia="宋体" w:cs="宋体"/>
                <w:color w:val="auto"/>
                <w:sz w:val="24"/>
                <w:szCs w:val="24"/>
                <w:highlight w:val="none"/>
              </w:rPr>
              <w:t>网上下载）制作生成的电子加密文件，应在投标截止时间前通过周口市公共资源交易中心会员系统上传。投标截止时间前不上传电子投标文件或者在开标时间不进行电子投标文件解密，均视为自动放弃投标。</w:t>
            </w:r>
          </w:p>
          <w:p w14:paraId="4F4A881F">
            <w:pPr>
              <w:pStyle w:val="17"/>
              <w:rPr>
                <w:rFonts w:hint="eastAsia" w:ascii="宋体" w:hAnsi="宋体" w:eastAsia="宋体" w:cs="宋体"/>
                <w:color w:val="auto"/>
                <w:highlight w:val="none"/>
                <w:lang w:val="en-US" w:eastAsia="zh-CN"/>
              </w:rPr>
            </w:pPr>
            <w:r>
              <w:rPr>
                <w:rFonts w:hint="eastAsia" w:ascii="宋体" w:hAnsi="宋体" w:eastAsia="宋体" w:cs="宋体"/>
                <w:color w:val="auto"/>
                <w:sz w:val="24"/>
                <w:szCs w:val="24"/>
                <w:highlight w:val="none"/>
                <w:lang w:val="en-US" w:eastAsia="zh-CN"/>
              </w:rPr>
              <w:t>2、本项目实行网上远程开标无须到现场提交响应文件，未加密的电子投标文件和纸质文件不再提交。</w:t>
            </w:r>
          </w:p>
        </w:tc>
      </w:tr>
      <w:tr w14:paraId="16BA3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tblHeader/>
          <w:jc w:val="center"/>
        </w:trPr>
        <w:tc>
          <w:tcPr>
            <w:tcW w:w="788" w:type="dxa"/>
            <w:noWrap w:val="0"/>
            <w:vAlign w:val="center"/>
          </w:tcPr>
          <w:p w14:paraId="1A675AC3">
            <w:pPr>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rPr>
              <w:t>1</w:t>
            </w:r>
            <w:r>
              <w:rPr>
                <w:rFonts w:hint="eastAsia" w:ascii="宋体" w:hAnsi="宋体" w:eastAsia="宋体" w:cs="宋体"/>
                <w:color w:val="auto"/>
                <w:sz w:val="24"/>
                <w:szCs w:val="24"/>
                <w:highlight w:val="none"/>
                <w:lang w:val="en-US" w:eastAsia="zh-CN"/>
              </w:rPr>
              <w:t>8</w:t>
            </w:r>
          </w:p>
        </w:tc>
        <w:tc>
          <w:tcPr>
            <w:tcW w:w="2833" w:type="dxa"/>
            <w:noWrap w:val="0"/>
            <w:vAlign w:val="center"/>
          </w:tcPr>
          <w:p w14:paraId="251AA56C">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投标时间及地点</w:t>
            </w:r>
          </w:p>
        </w:tc>
        <w:tc>
          <w:tcPr>
            <w:tcW w:w="6519" w:type="dxa"/>
            <w:noWrap w:val="0"/>
            <w:vAlign w:val="center"/>
          </w:tcPr>
          <w:p w14:paraId="62FF21F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投标截止时间：***年***月  日***（见招标公告）      </w:t>
            </w:r>
          </w:p>
          <w:p w14:paraId="7D1FDA94">
            <w:pPr>
              <w:rPr>
                <w:rFonts w:hint="eastAsia" w:ascii="宋体" w:hAnsi="宋体" w:eastAsia="宋体"/>
                <w:color w:val="auto"/>
                <w:sz w:val="24"/>
                <w:highlight w:val="none"/>
                <w:lang w:val="en-US" w:eastAsia="zh-CN"/>
              </w:rPr>
            </w:pPr>
            <w:r>
              <w:rPr>
                <w:rFonts w:hint="eastAsia" w:ascii="宋体" w:hAnsi="宋体" w:eastAsia="宋体" w:cs="宋体"/>
                <w:color w:val="auto"/>
                <w:sz w:val="24"/>
                <w:szCs w:val="24"/>
                <w:highlight w:val="none"/>
              </w:rPr>
              <w:t>标书递交地点：</w:t>
            </w:r>
            <w:r>
              <w:rPr>
                <w:rFonts w:hint="eastAsia" w:ascii="宋体" w:hAnsi="宋体"/>
                <w:color w:val="auto"/>
                <w:sz w:val="24"/>
                <w:highlight w:val="none"/>
              </w:rPr>
              <w:t>周口市公共资源交易中心</w:t>
            </w:r>
            <w:r>
              <w:rPr>
                <w:rFonts w:hint="eastAsia" w:ascii="宋体" w:hAnsi="宋体"/>
                <w:color w:val="auto"/>
                <w:sz w:val="24"/>
                <w:highlight w:val="none"/>
                <w:lang w:val="en-US" w:eastAsia="zh-CN"/>
              </w:rPr>
              <w:t>网</w:t>
            </w:r>
          </w:p>
          <w:p w14:paraId="6FB3C73C">
            <w:pPr>
              <w:rPr>
                <w:rFonts w:hint="eastAsia" w:ascii="宋体" w:hAnsi="宋体" w:eastAsia="宋体" w:cs="宋体"/>
                <w:color w:val="auto"/>
                <w:sz w:val="24"/>
                <w:szCs w:val="24"/>
                <w:highlight w:val="none"/>
                <w:lang w:val="en-US" w:eastAsia="zh-CN"/>
              </w:rPr>
            </w:pPr>
            <w:r>
              <w:rPr>
                <w:rFonts w:hint="eastAsia" w:ascii="宋体" w:hAnsi="宋体"/>
                <w:color w:val="auto"/>
                <w:sz w:val="24"/>
                <w:highlight w:val="none"/>
              </w:rPr>
              <w:t>网址：周口市公共资源电子交易服务平台会员系统（网址</w:t>
            </w:r>
            <w:r>
              <w:rPr>
                <w:rFonts w:hint="eastAsia" w:ascii="宋体" w:hAnsi="宋体" w:eastAsia="宋体"/>
                <w:color w:val="auto"/>
                <w:highlight w:val="none"/>
              </w:rPr>
              <w:t>http://jyzx.zhoukou.gov.cn</w:t>
            </w:r>
            <w:r>
              <w:rPr>
                <w:rFonts w:hint="eastAsia" w:ascii="宋体" w:hAnsi="宋体" w:eastAsia="宋体"/>
                <w:color w:val="auto"/>
                <w:highlight w:val="none"/>
                <w:lang w:eastAsia="zh-CN"/>
              </w:rPr>
              <w:t>）</w:t>
            </w:r>
          </w:p>
          <w:p w14:paraId="7BF1AFF7">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（本项目实行网上远程开标无须到现场提交响应文件）</w:t>
            </w:r>
          </w:p>
        </w:tc>
      </w:tr>
      <w:tr w14:paraId="4A5BD0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9" w:hRule="atLeast"/>
          <w:tblHeader/>
          <w:jc w:val="center"/>
        </w:trPr>
        <w:tc>
          <w:tcPr>
            <w:tcW w:w="788" w:type="dxa"/>
            <w:noWrap w:val="0"/>
            <w:vAlign w:val="center"/>
          </w:tcPr>
          <w:p w14:paraId="650A5725">
            <w:pP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19</w:t>
            </w:r>
          </w:p>
        </w:tc>
        <w:tc>
          <w:tcPr>
            <w:tcW w:w="2833" w:type="dxa"/>
            <w:noWrap w:val="0"/>
            <w:vAlign w:val="center"/>
          </w:tcPr>
          <w:p w14:paraId="03E31B7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开标时间及地点</w:t>
            </w:r>
          </w:p>
        </w:tc>
        <w:tc>
          <w:tcPr>
            <w:tcW w:w="6519" w:type="dxa"/>
            <w:noWrap w:val="0"/>
            <w:vAlign w:val="center"/>
          </w:tcPr>
          <w:p w14:paraId="1BC3DA7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开标时间：***年***月   日***（见招标公告）      </w:t>
            </w:r>
          </w:p>
          <w:p w14:paraId="40449725">
            <w:pPr>
              <w:ind w:left="360" w:hanging="360" w:hangingChars="150"/>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rPr>
              <w:t>开标地点：</w:t>
            </w:r>
            <w:r>
              <w:rPr>
                <w:rFonts w:hint="eastAsia" w:ascii="宋体" w:hAnsi="宋体" w:eastAsia="宋体" w:cs="宋体"/>
                <w:i w:val="0"/>
                <w:iCs w:val="0"/>
                <w:color w:val="auto"/>
                <w:sz w:val="24"/>
                <w:szCs w:val="24"/>
                <w:highlight w:val="none"/>
              </w:rPr>
              <w:t>周口市光明路与政通路交叉口</w:t>
            </w:r>
            <w:r>
              <w:rPr>
                <w:rFonts w:hint="eastAsia" w:ascii="宋体" w:hAnsi="宋体" w:eastAsia="宋体" w:cs="宋体"/>
                <w:i w:val="0"/>
                <w:iCs w:val="0"/>
                <w:color w:val="auto"/>
                <w:sz w:val="24"/>
                <w:szCs w:val="24"/>
                <w:highlight w:val="none"/>
                <w:lang w:val="en-US" w:eastAsia="zh-CN"/>
              </w:rPr>
              <w:t>向北100米路东(</w:t>
            </w:r>
            <w:r>
              <w:rPr>
                <w:rFonts w:hint="eastAsia" w:ascii="宋体" w:hAnsi="宋体" w:eastAsia="宋体" w:cs="宋体"/>
                <w:color w:val="auto"/>
                <w:sz w:val="24"/>
                <w:szCs w:val="24"/>
                <w:highlight w:val="none"/>
              </w:rPr>
              <w:t>周口市公共资源交易中心</w:t>
            </w:r>
            <w:r>
              <w:rPr>
                <w:rFonts w:hint="eastAsia" w:ascii="宋体" w:hAnsi="宋体" w:eastAsia="宋体" w:cs="宋体"/>
                <w:i w:val="0"/>
                <w:iCs w:val="0"/>
                <w:color w:val="auto"/>
                <w:sz w:val="24"/>
                <w:szCs w:val="24"/>
                <w:highlight w:val="none"/>
                <w:lang w:val="en-US" w:eastAsia="zh-CN"/>
              </w:rPr>
              <w:t>四楼开标室)</w:t>
            </w:r>
          </w:p>
        </w:tc>
      </w:tr>
      <w:tr w14:paraId="18A8F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blHeader/>
          <w:jc w:val="center"/>
        </w:trPr>
        <w:tc>
          <w:tcPr>
            <w:tcW w:w="788" w:type="dxa"/>
            <w:noWrap w:val="0"/>
            <w:vAlign w:val="center"/>
          </w:tcPr>
          <w:p w14:paraId="5757C494">
            <w:pP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20</w:t>
            </w:r>
          </w:p>
        </w:tc>
        <w:tc>
          <w:tcPr>
            <w:tcW w:w="2833" w:type="dxa"/>
            <w:noWrap w:val="0"/>
            <w:vAlign w:val="center"/>
          </w:tcPr>
          <w:p w14:paraId="74FB60C4">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评标办法</w:t>
            </w:r>
          </w:p>
        </w:tc>
        <w:tc>
          <w:tcPr>
            <w:tcW w:w="6519" w:type="dxa"/>
            <w:noWrap w:val="0"/>
            <w:vAlign w:val="center"/>
          </w:tcPr>
          <w:p w14:paraId="5A8B51D6">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综合评分法 详见招标文件第一部分第四章评标办法</w:t>
            </w:r>
          </w:p>
        </w:tc>
      </w:tr>
      <w:tr w14:paraId="6E0DFA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blHeader/>
          <w:jc w:val="center"/>
        </w:trPr>
        <w:tc>
          <w:tcPr>
            <w:tcW w:w="788" w:type="dxa"/>
            <w:noWrap w:val="0"/>
            <w:vAlign w:val="center"/>
          </w:tcPr>
          <w:p w14:paraId="3883324B">
            <w:pPr>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21</w:t>
            </w:r>
          </w:p>
        </w:tc>
        <w:tc>
          <w:tcPr>
            <w:tcW w:w="2833" w:type="dxa"/>
            <w:noWrap w:val="0"/>
            <w:vAlign w:val="center"/>
          </w:tcPr>
          <w:p w14:paraId="12CAEF0F">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其它</w:t>
            </w:r>
          </w:p>
        </w:tc>
        <w:tc>
          <w:tcPr>
            <w:tcW w:w="6519" w:type="dxa"/>
            <w:noWrap w:val="0"/>
            <w:vAlign w:val="center"/>
          </w:tcPr>
          <w:p w14:paraId="306AD2A8">
            <w:pPr>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采购人验收如需第三方质检部门介入，第三方质检验收所需费用由中标人负担。</w:t>
            </w:r>
          </w:p>
        </w:tc>
      </w:tr>
      <w:tr w14:paraId="5F4A6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blHeader/>
          <w:jc w:val="center"/>
        </w:trPr>
        <w:tc>
          <w:tcPr>
            <w:tcW w:w="788" w:type="dxa"/>
            <w:noWrap w:val="0"/>
            <w:vAlign w:val="center"/>
          </w:tcPr>
          <w:p w14:paraId="70CF5882">
            <w:pPr>
              <w:spacing w:line="500" w:lineRule="exact"/>
              <w:rPr>
                <w:rFonts w:hint="eastAsia" w:ascii="宋体" w:hAnsi="宋体" w:eastAsia="宋体" w:cs="宋体"/>
                <w:color w:val="auto"/>
                <w:sz w:val="24"/>
                <w:szCs w:val="24"/>
                <w:highlight w:val="none"/>
                <w:lang w:val="en-US" w:eastAsia="zh-CN"/>
              </w:rPr>
            </w:pPr>
            <w:r>
              <w:rPr>
                <w:rFonts w:hint="eastAsia" w:ascii="宋体" w:hAnsi="宋体"/>
                <w:color w:val="auto"/>
                <w:sz w:val="24"/>
                <w:szCs w:val="24"/>
                <w:highlight w:val="none"/>
              </w:rPr>
              <w:t>22</w:t>
            </w:r>
          </w:p>
        </w:tc>
        <w:tc>
          <w:tcPr>
            <w:tcW w:w="2833" w:type="dxa"/>
            <w:noWrap w:val="0"/>
            <w:vAlign w:val="center"/>
          </w:tcPr>
          <w:p w14:paraId="26933A5F">
            <w:pPr>
              <w:rPr>
                <w:rFonts w:hint="eastAsia" w:ascii="宋体" w:hAnsi="宋体" w:eastAsia="宋体" w:cs="宋体"/>
                <w:color w:val="auto"/>
                <w:sz w:val="24"/>
                <w:szCs w:val="24"/>
                <w:highlight w:val="none"/>
              </w:rPr>
            </w:pPr>
            <w:r>
              <w:rPr>
                <w:rFonts w:hint="eastAsia" w:ascii="宋体" w:hAnsi="宋体"/>
                <w:color w:val="auto"/>
                <w:sz w:val="24"/>
                <w:szCs w:val="24"/>
                <w:highlight w:val="none"/>
              </w:rPr>
              <w:t>所属行业</w:t>
            </w:r>
          </w:p>
        </w:tc>
        <w:tc>
          <w:tcPr>
            <w:tcW w:w="6519" w:type="dxa"/>
            <w:noWrap w:val="0"/>
            <w:vAlign w:val="center"/>
          </w:tcPr>
          <w:p w14:paraId="40B1C778">
            <w:pPr>
              <w:rPr>
                <w:rFonts w:hint="eastAsia" w:ascii="宋体" w:hAnsi="宋体" w:eastAsia="宋体" w:cs="宋体"/>
                <w:color w:val="auto"/>
                <w:sz w:val="24"/>
                <w:szCs w:val="24"/>
                <w:highlight w:val="none"/>
              </w:rPr>
            </w:pPr>
            <w:r>
              <w:rPr>
                <w:rFonts w:hint="eastAsia" w:ascii="宋体" w:hAnsi="宋体"/>
                <w:color w:val="auto"/>
                <w:sz w:val="24"/>
                <w:szCs w:val="24"/>
                <w:highlight w:val="none"/>
              </w:rPr>
              <w:t>软件和信息技术服务业</w:t>
            </w:r>
          </w:p>
        </w:tc>
      </w:tr>
      <w:tr w14:paraId="045ABF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2" w:hRule="atLeast"/>
          <w:tblHeader/>
          <w:jc w:val="center"/>
        </w:trPr>
        <w:tc>
          <w:tcPr>
            <w:tcW w:w="788" w:type="dxa"/>
            <w:noWrap w:val="0"/>
            <w:vAlign w:val="center"/>
          </w:tcPr>
          <w:p w14:paraId="2652FAA7">
            <w:pPr>
              <w:spacing w:line="500" w:lineRule="exact"/>
              <w:rPr>
                <w:rFonts w:hint="eastAsia" w:ascii="宋体" w:hAnsi="宋体" w:eastAsia="宋体" w:cs="宋体"/>
                <w:color w:val="auto"/>
                <w:sz w:val="24"/>
                <w:szCs w:val="24"/>
                <w:highlight w:val="none"/>
                <w:lang w:val="en-US" w:eastAsia="zh-CN"/>
              </w:rPr>
            </w:pPr>
            <w:r>
              <w:rPr>
                <w:rFonts w:hint="eastAsia" w:ascii="宋体" w:hAnsi="宋体"/>
                <w:color w:val="auto"/>
                <w:sz w:val="24"/>
                <w:szCs w:val="24"/>
                <w:highlight w:val="none"/>
                <w:lang w:val="en-US" w:eastAsia="zh-CN"/>
              </w:rPr>
              <w:t>23</w:t>
            </w:r>
          </w:p>
        </w:tc>
        <w:tc>
          <w:tcPr>
            <w:tcW w:w="2833" w:type="dxa"/>
            <w:noWrap w:val="0"/>
            <w:vAlign w:val="center"/>
          </w:tcPr>
          <w:p w14:paraId="0F5B9DD1">
            <w:pPr>
              <w:rPr>
                <w:rFonts w:hint="eastAsia" w:ascii="宋体" w:hAnsi="宋体" w:eastAsia="宋体" w:cs="宋体"/>
                <w:color w:val="auto"/>
                <w:sz w:val="24"/>
                <w:szCs w:val="24"/>
                <w:highlight w:val="none"/>
              </w:rPr>
            </w:pPr>
            <w:r>
              <w:rPr>
                <w:rFonts w:hint="eastAsia" w:ascii="宋体" w:hAnsi="宋体"/>
                <w:color w:val="auto"/>
                <w:sz w:val="24"/>
                <w:szCs w:val="24"/>
                <w:highlight w:val="none"/>
                <w:lang w:val="en-US" w:eastAsia="zh-CN"/>
              </w:rPr>
              <w:t>质保期</w:t>
            </w:r>
          </w:p>
        </w:tc>
        <w:tc>
          <w:tcPr>
            <w:tcW w:w="6519" w:type="dxa"/>
            <w:noWrap w:val="0"/>
            <w:vAlign w:val="center"/>
          </w:tcPr>
          <w:p w14:paraId="445E43A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三年(同系统运维期限)</w:t>
            </w:r>
          </w:p>
        </w:tc>
      </w:tr>
    </w:tbl>
    <w:p w14:paraId="1A8D4F36">
      <w:pPr>
        <w:pStyle w:val="9"/>
        <w:rPr>
          <w:rFonts w:hint="eastAsia" w:ascii="宋体" w:hAnsi="宋体" w:eastAsia="宋体" w:cs="宋体"/>
          <w:color w:val="auto"/>
          <w:highlight w:val="none"/>
          <w:lang w:val="en-US" w:eastAsia="zh-CN"/>
        </w:rPr>
      </w:pPr>
    </w:p>
    <w:p w14:paraId="2AD89C49">
      <w:pPr>
        <w:pStyle w:val="10"/>
        <w:rPr>
          <w:rFonts w:hint="eastAsia" w:ascii="宋体" w:hAnsi="宋体" w:eastAsia="宋体" w:cs="宋体"/>
          <w:color w:val="auto"/>
          <w:highlight w:val="none"/>
        </w:rPr>
      </w:pPr>
    </w:p>
    <w:p w14:paraId="734DFF77">
      <w:pPr>
        <w:pStyle w:val="5"/>
        <w:ind w:firstLine="0"/>
        <w:rPr>
          <w:rFonts w:hint="eastAsia" w:ascii="宋体" w:hAnsi="宋体" w:eastAsia="宋体" w:cs="宋体"/>
          <w:color w:val="auto"/>
          <w:highlight w:val="none"/>
        </w:rPr>
      </w:pPr>
      <w:bookmarkStart w:id="40" w:name="_Hlt519045778"/>
      <w:bookmarkEnd w:id="40"/>
      <w:bookmarkStart w:id="41" w:name="_Hlt516969057"/>
      <w:bookmarkEnd w:id="41"/>
      <w:bookmarkStart w:id="42" w:name="_Hlt509650027"/>
      <w:bookmarkEnd w:id="42"/>
      <w:bookmarkStart w:id="43" w:name="_Hlt509650351"/>
      <w:bookmarkEnd w:id="43"/>
      <w:bookmarkStart w:id="44" w:name="_Toc450_WPSOffice_Level1"/>
      <w:bookmarkStart w:id="45" w:name="_Toc22493"/>
      <w:bookmarkStart w:id="46" w:name="_Toc220232390"/>
      <w:r>
        <w:rPr>
          <w:rFonts w:hint="eastAsia" w:ascii="宋体" w:hAnsi="宋体" w:eastAsia="宋体" w:cs="宋体"/>
          <w:color w:val="auto"/>
          <w:highlight w:val="none"/>
        </w:rPr>
        <w:t>第三章</w:t>
      </w:r>
      <w:r>
        <w:rPr>
          <w:rFonts w:hint="eastAsia" w:ascii="宋体" w:hAnsi="宋体" w:eastAsia="宋体" w:cs="宋体"/>
          <w:color w:val="auto"/>
          <w:highlight w:val="none"/>
          <w:lang w:eastAsia="zh-CN"/>
        </w:rPr>
        <w:t xml:space="preserve">  </w:t>
      </w:r>
      <w:r>
        <w:rPr>
          <w:rFonts w:hint="eastAsia" w:ascii="宋体" w:hAnsi="宋体" w:eastAsia="宋体" w:cs="宋体"/>
          <w:color w:val="auto"/>
          <w:highlight w:val="none"/>
        </w:rPr>
        <w:t>需求一览表</w:t>
      </w:r>
      <w:bookmarkEnd w:id="44"/>
      <w:bookmarkEnd w:id="45"/>
      <w:bookmarkEnd w:id="46"/>
    </w:p>
    <w:p w14:paraId="716F468F">
      <w:pPr>
        <w:spacing w:line="360" w:lineRule="auto"/>
        <w:ind w:firstLine="480" w:firstLineChars="200"/>
        <w:rPr>
          <w:rFonts w:hint="eastAsia" w:ascii="宋体" w:hAnsi="宋体" w:eastAsia="宋体" w:cs="宋体"/>
          <w:color w:val="auto"/>
          <w:sz w:val="24"/>
          <w:szCs w:val="28"/>
          <w:highlight w:val="none"/>
        </w:rPr>
      </w:pPr>
      <w:bookmarkStart w:id="47" w:name="_Hlt509716920"/>
      <w:bookmarkEnd w:id="47"/>
      <w:r>
        <w:rPr>
          <w:rFonts w:hint="eastAsia" w:ascii="宋体" w:hAnsi="宋体" w:eastAsia="宋体" w:cs="宋体"/>
          <w:color w:val="auto"/>
          <w:sz w:val="24"/>
          <w:szCs w:val="28"/>
          <w:highlight w:val="none"/>
        </w:rPr>
        <w:t>前注：1） 本需求中提出的技术方案仅为参考，如无明确限制，投标人可以进行优化，提供满足用户实际需要的更优（或者性能实质上不低于的）</w:t>
      </w:r>
      <w:r>
        <w:rPr>
          <w:rFonts w:hint="eastAsia" w:ascii="宋体" w:hAnsi="宋体" w:eastAsia="宋体" w:cs="宋体"/>
          <w:color w:val="auto"/>
          <w:sz w:val="24"/>
          <w:szCs w:val="24"/>
          <w:highlight w:val="none"/>
        </w:rPr>
        <w:t>技术方案或者设备配置，且此方案或配置须经评委会审核认可；</w:t>
      </w:r>
      <w:r>
        <w:rPr>
          <w:rFonts w:hint="eastAsia" w:ascii="宋体" w:hAnsi="宋体" w:eastAsia="宋体" w:cs="宋体"/>
          <w:color w:val="auto"/>
          <w:sz w:val="24"/>
          <w:szCs w:val="24"/>
          <w:highlight w:val="none"/>
        </w:rPr>
        <w:cr/>
      </w:r>
      <w:r>
        <w:rPr>
          <w:rFonts w:hint="eastAsia" w:ascii="宋体" w:hAnsi="宋体" w:eastAsia="宋体" w:cs="宋体"/>
          <w:color w:val="auto"/>
          <w:sz w:val="24"/>
          <w:szCs w:val="24"/>
          <w:highlight w:val="none"/>
        </w:rPr>
        <w:t xml:space="preserve">    2） 为鼓励不同品牌的充分竞争，如某设备的某技术参数或要求属于个别品牌专有，则该技术参数及要求不具有限制性，投标人可对该参数或要求进行适当调整，并应当说明调整的理由，且此调整须经评委会审核认可；</w:t>
      </w:r>
    </w:p>
    <w:p w14:paraId="7D2F8F44">
      <w:pPr>
        <w:spacing w:line="360" w:lineRule="auto"/>
        <w:ind w:firstLine="480" w:firstLineChars="200"/>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3） 为有助于投标人选择投标产品，项目需求中提供了推荐品牌（或型号）、参考品牌（或型号）等，但这些品牌（或型号）仅供参考，并无限制性。投标人可以选择性能不低于推荐（或参考）的品牌（或型号）的其他品牌产品，但投标时应当提供有关技术证明资料，未提供的可能导致投标无效；</w:t>
      </w:r>
      <w:r>
        <w:rPr>
          <w:rFonts w:hint="eastAsia" w:ascii="宋体" w:hAnsi="宋体" w:eastAsia="宋体" w:cs="宋体"/>
          <w:color w:val="auto"/>
          <w:sz w:val="24"/>
          <w:szCs w:val="28"/>
          <w:highlight w:val="none"/>
        </w:rPr>
        <w:cr/>
      </w:r>
      <w:r>
        <w:rPr>
          <w:rFonts w:hint="eastAsia" w:ascii="宋体" w:hAnsi="宋体" w:eastAsia="宋体" w:cs="宋体"/>
          <w:color w:val="auto"/>
          <w:sz w:val="24"/>
          <w:szCs w:val="28"/>
          <w:highlight w:val="none"/>
        </w:rPr>
        <w:t xml:space="preserve">    4） 投标人应当在投标文件中列出完成本项目并通过验收所需的所有各项服务等明细表及全部费用。中标人必须确保整体通过用户方及有关主管部门验收,所发生的验收费用由中标人承担；投标人应自行踏勘现场，如投标人因未及时踏勘现场而导致的报价缺项漏项废标、或中标后无法完工，投标人自行承担一切后果；</w:t>
      </w:r>
      <w:r>
        <w:rPr>
          <w:rFonts w:hint="eastAsia" w:ascii="宋体" w:hAnsi="宋体" w:eastAsia="宋体" w:cs="宋体"/>
          <w:color w:val="auto"/>
          <w:sz w:val="24"/>
          <w:szCs w:val="28"/>
          <w:highlight w:val="none"/>
        </w:rPr>
        <w:cr/>
      </w:r>
      <w:r>
        <w:rPr>
          <w:rFonts w:hint="eastAsia" w:ascii="宋体" w:hAnsi="宋体" w:eastAsia="宋体" w:cs="宋体"/>
          <w:color w:val="auto"/>
          <w:sz w:val="24"/>
          <w:szCs w:val="28"/>
          <w:highlight w:val="none"/>
        </w:rPr>
        <w:t xml:space="preserve">    5）如对本招标文件有任何疑问或澄清要求，请按本招标文件“投标人须知前附表”中约定联系周口市公共交资源交易中心政府采购中心，或接受答疑截止时间前联系采购人。否则视同理解和接受。</w:t>
      </w:r>
      <w:bookmarkStart w:id="48" w:name="_Toc6821_WPSOffice_Level2"/>
    </w:p>
    <w:p w14:paraId="1AF46031">
      <w:pPr>
        <w:spacing w:line="360" w:lineRule="auto"/>
        <w:ind w:firstLine="643" w:firstLineChars="200"/>
        <w:rPr>
          <w:rFonts w:hint="eastAsia" w:ascii="宋体" w:hAnsi="宋体" w:eastAsia="宋体" w:cs="宋体"/>
          <w:b/>
          <w:color w:val="auto"/>
          <w:sz w:val="32"/>
          <w:szCs w:val="32"/>
          <w:highlight w:val="none"/>
        </w:rPr>
      </w:pPr>
    </w:p>
    <w:p w14:paraId="7EF6D604">
      <w:pPr>
        <w:spacing w:line="360" w:lineRule="auto"/>
        <w:ind w:firstLine="643" w:firstLineChars="200"/>
        <w:rPr>
          <w:rFonts w:hint="eastAsia" w:ascii="宋体" w:hAnsi="宋体" w:eastAsia="宋体" w:cs="宋体"/>
          <w:b/>
          <w:color w:val="auto"/>
          <w:sz w:val="32"/>
          <w:szCs w:val="32"/>
          <w:highlight w:val="none"/>
        </w:rPr>
      </w:pPr>
    </w:p>
    <w:p w14:paraId="0039AB7D">
      <w:pPr>
        <w:spacing w:line="360" w:lineRule="auto"/>
        <w:ind w:firstLine="643" w:firstLineChars="200"/>
        <w:rPr>
          <w:rFonts w:hint="eastAsia" w:ascii="宋体" w:hAnsi="宋体" w:eastAsia="宋体" w:cs="宋体"/>
          <w:b/>
          <w:color w:val="auto"/>
          <w:sz w:val="32"/>
          <w:szCs w:val="32"/>
          <w:highlight w:val="none"/>
        </w:rPr>
      </w:pPr>
    </w:p>
    <w:bookmarkEnd w:id="48"/>
    <w:p w14:paraId="4E8E6222">
      <w:pPr>
        <w:jc w:val="left"/>
        <w:rPr>
          <w:rFonts w:hint="eastAsia" w:ascii="宋体" w:hAnsi="宋体" w:eastAsia="宋体" w:cs="宋体"/>
          <w:color w:val="auto"/>
          <w:highlight w:val="none"/>
        </w:rPr>
        <w:sectPr>
          <w:footerReference r:id="rId3" w:type="default"/>
          <w:pgSz w:w="11906" w:h="16838"/>
          <w:pgMar w:top="1440" w:right="1758" w:bottom="1440" w:left="1758" w:header="851" w:footer="992" w:gutter="0"/>
          <w:cols w:space="720" w:num="1"/>
          <w:docGrid w:linePitch="312" w:charSpace="0"/>
        </w:sectPr>
      </w:pPr>
    </w:p>
    <w:p w14:paraId="24722922">
      <w:pPr>
        <w:pBdr>
          <w:bottom w:val="dotted" w:color="auto" w:sz="24" w:space="1"/>
        </w:pBdr>
        <w:spacing w:line="360" w:lineRule="auto"/>
        <w:jc w:val="center"/>
        <w:rPr>
          <w:rFonts w:hint="default" w:ascii="宋体" w:hAnsi="宋体" w:eastAsia="宋体" w:cs="宋体"/>
          <w:b/>
          <w:color w:val="auto"/>
          <w:sz w:val="32"/>
          <w:szCs w:val="32"/>
          <w:highlight w:val="none"/>
          <w:lang w:val="en-US" w:eastAsia="zh-CN"/>
        </w:rPr>
      </w:pPr>
      <w:bookmarkStart w:id="49" w:name="_Toc11739_WPSOffice_Level1"/>
      <w:bookmarkStart w:id="50" w:name="_Toc2172"/>
      <w:bookmarkStart w:id="51" w:name="_Toc14806_WPSOffice_Level2"/>
      <w:r>
        <w:rPr>
          <w:rFonts w:hint="eastAsia" w:ascii="宋体" w:hAnsi="宋体" w:eastAsia="宋体" w:cs="宋体"/>
          <w:b/>
          <w:color w:val="auto"/>
          <w:sz w:val="96"/>
          <w:szCs w:val="96"/>
          <w:highlight w:val="none"/>
        </w:rPr>
        <w:t>服务需求</w:t>
      </w:r>
    </w:p>
    <w:tbl>
      <w:tblPr>
        <w:tblStyle w:val="23"/>
        <w:tblW w:w="301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01"/>
        <w:gridCol w:w="1952"/>
        <w:gridCol w:w="19833"/>
        <w:gridCol w:w="700"/>
        <w:gridCol w:w="1219"/>
        <w:gridCol w:w="1042"/>
        <w:gridCol w:w="1040"/>
        <w:gridCol w:w="3653"/>
      </w:tblGrid>
      <w:tr w14:paraId="02A1EF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80" w:hRule="atLeast"/>
        </w:trPr>
        <w:tc>
          <w:tcPr>
            <w:tcW w:w="30140" w:type="dxa"/>
            <w:gridSpan w:val="8"/>
            <w:tcBorders>
              <w:top w:val="nil"/>
              <w:left w:val="nil"/>
              <w:bottom w:val="nil"/>
              <w:right w:val="nil"/>
            </w:tcBorders>
            <w:noWrap w:val="0"/>
            <w:vAlign w:val="center"/>
          </w:tcPr>
          <w:p w14:paraId="6BF617AE">
            <w:pPr>
              <w:keepNext w:val="0"/>
              <w:keepLines w:val="0"/>
              <w:widowControl/>
              <w:suppressLineNumbers w:val="0"/>
              <w:jc w:val="center"/>
              <w:textAlignment w:val="center"/>
              <w:rPr>
                <w:rFonts w:hint="eastAsia" w:ascii="宋体" w:hAnsi="宋体" w:eastAsia="宋体" w:cs="宋体"/>
                <w:b/>
                <w:bCs/>
                <w:i w:val="0"/>
                <w:iCs w:val="0"/>
                <w:color w:val="auto"/>
                <w:sz w:val="40"/>
                <w:szCs w:val="40"/>
                <w:highlight w:val="none"/>
                <w:u w:val="none"/>
              </w:rPr>
            </w:pPr>
            <w:r>
              <w:rPr>
                <w:rFonts w:hint="eastAsia" w:ascii="宋体" w:hAnsi="宋体" w:eastAsia="宋体" w:cs="宋体"/>
                <w:b/>
                <w:bCs/>
                <w:i w:val="0"/>
                <w:iCs w:val="0"/>
                <w:color w:val="auto"/>
                <w:kern w:val="0"/>
                <w:sz w:val="40"/>
                <w:szCs w:val="40"/>
                <w:highlight w:val="none"/>
                <w:u w:val="none"/>
                <w:lang w:val="en-US" w:eastAsia="zh-CN" w:bidi="ar"/>
              </w:rPr>
              <w:t>政务服务大厅硬件购置及对接费用</w:t>
            </w:r>
          </w:p>
        </w:tc>
      </w:tr>
      <w:tr w14:paraId="1DB235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0" w:type="auto"/>
            <w:tcBorders>
              <w:top w:val="single" w:color="000000" w:sz="8" w:space="0"/>
              <w:left w:val="single" w:color="000000" w:sz="8" w:space="0"/>
              <w:bottom w:val="single" w:color="000000" w:sz="8" w:space="0"/>
              <w:right w:val="single" w:color="000000" w:sz="8" w:space="0"/>
            </w:tcBorders>
            <w:noWrap/>
            <w:vAlign w:val="center"/>
          </w:tcPr>
          <w:p w14:paraId="4E94BA4C">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1944" w:type="dxa"/>
            <w:tcBorders>
              <w:top w:val="single" w:color="000000" w:sz="8" w:space="0"/>
              <w:left w:val="nil"/>
              <w:bottom w:val="single" w:color="000000" w:sz="8" w:space="0"/>
              <w:right w:val="single" w:color="000000" w:sz="8" w:space="0"/>
            </w:tcBorders>
            <w:noWrap w:val="0"/>
            <w:vAlign w:val="center"/>
          </w:tcPr>
          <w:p w14:paraId="053F9368">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名称</w:t>
            </w:r>
          </w:p>
        </w:tc>
        <w:tc>
          <w:tcPr>
            <w:tcW w:w="0" w:type="auto"/>
            <w:tcBorders>
              <w:top w:val="single" w:color="000000" w:sz="8" w:space="0"/>
              <w:left w:val="nil"/>
              <w:bottom w:val="single" w:color="000000" w:sz="8" w:space="0"/>
              <w:right w:val="single" w:color="000000" w:sz="8" w:space="0"/>
            </w:tcBorders>
            <w:noWrap/>
            <w:vAlign w:val="center"/>
          </w:tcPr>
          <w:p w14:paraId="1BD4C438">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技术参数</w:t>
            </w:r>
          </w:p>
        </w:tc>
        <w:tc>
          <w:tcPr>
            <w:tcW w:w="0" w:type="auto"/>
            <w:tcBorders>
              <w:top w:val="single" w:color="000000" w:sz="8" w:space="0"/>
              <w:left w:val="nil"/>
              <w:bottom w:val="single" w:color="000000" w:sz="8" w:space="0"/>
              <w:right w:val="single" w:color="000000" w:sz="8" w:space="0"/>
            </w:tcBorders>
            <w:noWrap/>
            <w:vAlign w:val="center"/>
          </w:tcPr>
          <w:p w14:paraId="5DF3604D">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单位</w:t>
            </w:r>
          </w:p>
        </w:tc>
        <w:tc>
          <w:tcPr>
            <w:tcW w:w="1214" w:type="dxa"/>
            <w:tcBorders>
              <w:top w:val="single" w:color="000000" w:sz="8" w:space="0"/>
              <w:left w:val="nil"/>
              <w:bottom w:val="single" w:color="000000" w:sz="8" w:space="0"/>
              <w:right w:val="single" w:color="000000" w:sz="8" w:space="0"/>
            </w:tcBorders>
            <w:noWrap w:val="0"/>
            <w:vAlign w:val="center"/>
          </w:tcPr>
          <w:p w14:paraId="2EDD3378">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数量</w:t>
            </w:r>
          </w:p>
        </w:tc>
        <w:tc>
          <w:tcPr>
            <w:tcW w:w="1037" w:type="dxa"/>
            <w:tcBorders>
              <w:top w:val="single" w:color="000000" w:sz="8" w:space="0"/>
              <w:left w:val="single" w:color="000000" w:sz="8" w:space="0"/>
              <w:bottom w:val="single" w:color="000000" w:sz="8" w:space="0"/>
              <w:right w:val="single" w:color="000000" w:sz="8" w:space="0"/>
            </w:tcBorders>
            <w:noWrap w:val="0"/>
            <w:vAlign w:val="center"/>
          </w:tcPr>
          <w:p w14:paraId="62EF7F54">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单价</w:t>
            </w:r>
            <w:r>
              <w:rPr>
                <w:rFonts w:hint="eastAsia" w:ascii="宋体" w:hAnsi="宋体" w:eastAsia="宋体" w:cs="宋体"/>
                <w:b/>
                <w:bCs/>
                <w:i w:val="0"/>
                <w:iCs w:val="0"/>
                <w:color w:val="auto"/>
                <w:kern w:val="0"/>
                <w:sz w:val="24"/>
                <w:szCs w:val="24"/>
                <w:highlight w:val="none"/>
                <w:u w:val="none"/>
                <w:lang w:val="en-US" w:eastAsia="zh-CN" w:bidi="ar"/>
              </w:rPr>
              <w:br w:type="textWrapping"/>
            </w:r>
            <w:r>
              <w:rPr>
                <w:rFonts w:hint="eastAsia" w:ascii="宋体" w:hAnsi="宋体" w:eastAsia="宋体" w:cs="宋体"/>
                <w:b/>
                <w:bCs/>
                <w:i w:val="0"/>
                <w:iCs w:val="0"/>
                <w:color w:val="auto"/>
                <w:kern w:val="0"/>
                <w:sz w:val="24"/>
                <w:szCs w:val="24"/>
                <w:highlight w:val="none"/>
                <w:u w:val="none"/>
                <w:lang w:val="en-US" w:eastAsia="zh-CN" w:bidi="ar"/>
              </w:rPr>
              <w:t>（元）</w:t>
            </w:r>
          </w:p>
        </w:tc>
        <w:tc>
          <w:tcPr>
            <w:tcW w:w="1036" w:type="dxa"/>
            <w:tcBorders>
              <w:top w:val="single" w:color="000000" w:sz="8" w:space="0"/>
              <w:left w:val="nil"/>
              <w:bottom w:val="single" w:color="000000" w:sz="8" w:space="0"/>
              <w:right w:val="single" w:color="000000" w:sz="8" w:space="0"/>
            </w:tcBorders>
            <w:noWrap w:val="0"/>
            <w:vAlign w:val="center"/>
          </w:tcPr>
          <w:p w14:paraId="689E8CB3">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合价</w:t>
            </w:r>
            <w:r>
              <w:rPr>
                <w:rFonts w:hint="eastAsia" w:ascii="宋体" w:hAnsi="宋体" w:eastAsia="宋体" w:cs="宋体"/>
                <w:b/>
                <w:bCs/>
                <w:i w:val="0"/>
                <w:iCs w:val="0"/>
                <w:color w:val="auto"/>
                <w:kern w:val="0"/>
                <w:sz w:val="24"/>
                <w:szCs w:val="24"/>
                <w:highlight w:val="none"/>
                <w:u w:val="none"/>
                <w:lang w:val="en-US" w:eastAsia="zh-CN" w:bidi="ar"/>
              </w:rPr>
              <w:br w:type="textWrapping"/>
            </w:r>
            <w:r>
              <w:rPr>
                <w:rFonts w:hint="eastAsia" w:ascii="宋体" w:hAnsi="宋体" w:eastAsia="宋体" w:cs="宋体"/>
                <w:b/>
                <w:bCs/>
                <w:i w:val="0"/>
                <w:iCs w:val="0"/>
                <w:color w:val="auto"/>
                <w:kern w:val="0"/>
                <w:sz w:val="24"/>
                <w:szCs w:val="24"/>
                <w:highlight w:val="none"/>
                <w:u w:val="none"/>
                <w:lang w:val="en-US" w:eastAsia="zh-CN" w:bidi="ar"/>
              </w:rPr>
              <w:t>（元）</w:t>
            </w:r>
          </w:p>
        </w:tc>
        <w:tc>
          <w:tcPr>
            <w:tcW w:w="0" w:type="auto"/>
            <w:tcBorders>
              <w:top w:val="single" w:color="000000" w:sz="8" w:space="0"/>
              <w:left w:val="nil"/>
              <w:bottom w:val="single" w:color="000000" w:sz="8" w:space="0"/>
              <w:right w:val="single" w:color="000000" w:sz="8" w:space="0"/>
            </w:tcBorders>
            <w:noWrap/>
            <w:vAlign w:val="center"/>
          </w:tcPr>
          <w:p w14:paraId="5B02F3C9">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备注</w:t>
            </w:r>
          </w:p>
        </w:tc>
      </w:tr>
      <w:tr w14:paraId="56115C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60" w:hRule="atLeast"/>
        </w:trPr>
        <w:tc>
          <w:tcPr>
            <w:tcW w:w="0" w:type="auto"/>
            <w:vMerge w:val="restart"/>
            <w:tcBorders>
              <w:top w:val="nil"/>
              <w:left w:val="single" w:color="000000" w:sz="8" w:space="0"/>
              <w:bottom w:val="single" w:color="000000" w:sz="8" w:space="0"/>
              <w:right w:val="single" w:color="000000" w:sz="8" w:space="0"/>
            </w:tcBorders>
            <w:noWrap/>
            <w:vAlign w:val="center"/>
          </w:tcPr>
          <w:p w14:paraId="16DC19D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944" w:type="dxa"/>
            <w:vMerge w:val="restart"/>
            <w:tcBorders>
              <w:top w:val="nil"/>
              <w:left w:val="nil"/>
              <w:bottom w:val="single" w:color="000000" w:sz="8" w:space="0"/>
              <w:right w:val="single" w:color="000000" w:sz="8" w:space="0"/>
            </w:tcBorders>
            <w:noWrap w:val="0"/>
            <w:vAlign w:val="center"/>
          </w:tcPr>
          <w:p w14:paraId="6AFFF3C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排队取号机</w:t>
            </w:r>
          </w:p>
        </w:tc>
        <w:tc>
          <w:tcPr>
            <w:tcW w:w="19751" w:type="dxa"/>
            <w:vMerge w:val="restart"/>
            <w:tcBorders>
              <w:top w:val="single" w:color="000000" w:sz="8" w:space="0"/>
              <w:left w:val="single" w:color="000000" w:sz="8" w:space="0"/>
              <w:bottom w:val="single" w:color="000000" w:sz="8" w:space="0"/>
              <w:right w:val="single" w:color="000000" w:sz="8" w:space="0"/>
            </w:tcBorders>
            <w:noWrap w:val="0"/>
            <w:vAlign w:val="center"/>
          </w:tcPr>
          <w:p w14:paraId="1D87397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1、机柜采用金属烤漆，优质冷轧钢板，包含开关电源和1个RJ45网络接口；</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2、显示屏：32英寸专业高清LCD液晶屏，屏幕比例16:9, 对比度1000:1；支持颜色：16.2M;扫描频率（行/场）：30～80KHz/60～75Hz;平均无故障时间(MTBF)：≥50,000 小时;背光灯管寿命(Typ.)：≥50,000 小时 ;最大分辨率:1920*1080;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3、触摸屏：32英寸电容触摸屏，触摸次数≥5000万次, 响应时间≤5ms；触摸表面采用钢化玻璃，USB 接口，多点触摸，具有耐磨、防爆、防水、防油、防尘、防刮伤；触屏精度：±2mm；最大分辨率：4096*4096;</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4、CPU：Intel i5双核四线程,主频:1.8GHz,最大睿频:2.6GHz；</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5、内存：4GB；</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6、硬盘：128G 固态硬盘；</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7、内置原装80mm热敏微型打印机；直接行式热敏打印,可靠性≥100km;支持0.06mm-0.08mm热敏纸;打印速度≥230毫米/秒;</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8、内置双声道音响功放；能满足半径 10m 范围内的语音需求；</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9、内置二维码扫描；最低支持分辨率:640x 480像素;接口支持USB;环境光免疫: 0-100,000 Lux.</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10、支持信息打印；</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11、内置第二代身份证阅读器；射频技术符合 ISO14443 Type B 标准，以及《GA 450-2003 台式居民身份证阅读器通用技术要求》、《1GA450-2003 台式居民身份证阅读器通用技术要求第一号修改单(草案)》；</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12、保密模块：身份证核查系统专用模块；可以通过随机解码软件，将身份证内的数字压缩相片还原成可视相片，进行“人证同一性”认定；阅读时间 &lt; 1S；读卡距离 0~50mm；工作频率 13.56MHz ± 7kHz；符合 USB2.0 标准；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13、内置人脸识别摄像头;宽动态双镜头，200万高清像素、变焦、补光、红外感应；高速USB接口;可结合人脸识别算法进行照片截取,人证核验,人脸检索等功能;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★1.自带的客户端取号软件支持以所见即所得的方式对屏幕进行任意分区，并在不同的分区轮播视频、轮播图片、取号按钮、滚动字幕等；</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★2.支持无限级交互界面；</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★3.支持根据业主需求进行VI定制；</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支持定时开关机,实现无人值守工作；</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支持远程管理，软件自动升级功能。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★4.必须提供生产厂商通过：</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ISO9001：2015质量管理体系、</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ISO14001:2015环境管理体系、</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ISO45001:2018职业健康安全管理体系、</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国家CCC产品认证证书</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与市政务服务平台、周到办实现无缝对接。</w:t>
            </w:r>
          </w:p>
        </w:tc>
        <w:tc>
          <w:tcPr>
            <w:tcW w:w="0" w:type="auto"/>
            <w:vMerge w:val="restart"/>
            <w:tcBorders>
              <w:top w:val="nil"/>
              <w:left w:val="nil"/>
              <w:bottom w:val="single" w:color="000000" w:sz="8" w:space="0"/>
              <w:right w:val="single" w:color="000000" w:sz="8" w:space="0"/>
            </w:tcBorders>
            <w:noWrap/>
            <w:vAlign w:val="center"/>
          </w:tcPr>
          <w:p w14:paraId="46C64C2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0" w:type="auto"/>
            <w:vMerge w:val="restart"/>
            <w:tcBorders>
              <w:top w:val="nil"/>
              <w:left w:val="nil"/>
              <w:bottom w:val="single" w:color="000000" w:sz="8" w:space="0"/>
              <w:right w:val="single" w:color="000000" w:sz="8" w:space="0"/>
            </w:tcBorders>
            <w:noWrap/>
            <w:vAlign w:val="center"/>
          </w:tcPr>
          <w:p w14:paraId="7D2C101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w:t>
            </w:r>
          </w:p>
        </w:tc>
        <w:tc>
          <w:tcPr>
            <w:tcW w:w="0" w:type="auto"/>
            <w:vMerge w:val="restart"/>
            <w:tcBorders>
              <w:top w:val="nil"/>
              <w:left w:val="nil"/>
              <w:bottom w:val="single" w:color="000000" w:sz="8" w:space="0"/>
              <w:right w:val="single" w:color="000000" w:sz="8" w:space="0"/>
            </w:tcBorders>
            <w:noWrap/>
            <w:vAlign w:val="center"/>
          </w:tcPr>
          <w:p w14:paraId="7CE2740C">
            <w:pPr>
              <w:jc w:val="center"/>
              <w:rPr>
                <w:rFonts w:hint="eastAsia" w:ascii="宋体" w:hAnsi="宋体" w:eastAsia="宋体" w:cs="宋体"/>
                <w:i w:val="0"/>
                <w:iCs w:val="0"/>
                <w:color w:val="auto"/>
                <w:sz w:val="24"/>
                <w:szCs w:val="24"/>
                <w:highlight w:val="none"/>
                <w:u w:val="none"/>
              </w:rPr>
            </w:pPr>
          </w:p>
        </w:tc>
        <w:tc>
          <w:tcPr>
            <w:tcW w:w="0" w:type="auto"/>
            <w:vMerge w:val="restart"/>
            <w:tcBorders>
              <w:top w:val="nil"/>
              <w:left w:val="nil"/>
              <w:bottom w:val="single" w:color="000000" w:sz="8" w:space="0"/>
              <w:right w:val="single" w:color="000000" w:sz="8" w:space="0"/>
            </w:tcBorders>
            <w:noWrap/>
            <w:vAlign w:val="center"/>
          </w:tcPr>
          <w:p w14:paraId="5E923795">
            <w:pPr>
              <w:jc w:val="center"/>
              <w:rPr>
                <w:rFonts w:hint="eastAsia" w:ascii="宋体" w:hAnsi="宋体" w:eastAsia="宋体" w:cs="宋体"/>
                <w:i w:val="0"/>
                <w:iCs w:val="0"/>
                <w:color w:val="auto"/>
                <w:sz w:val="24"/>
                <w:szCs w:val="24"/>
                <w:highlight w:val="none"/>
                <w:u w:val="none"/>
              </w:rPr>
            </w:pPr>
          </w:p>
        </w:tc>
        <w:tc>
          <w:tcPr>
            <w:tcW w:w="0" w:type="auto"/>
            <w:vMerge w:val="restart"/>
            <w:tcBorders>
              <w:top w:val="nil"/>
              <w:left w:val="nil"/>
              <w:bottom w:val="single" w:color="000000" w:sz="8" w:space="0"/>
              <w:right w:val="single" w:color="000000" w:sz="8" w:space="0"/>
            </w:tcBorders>
            <w:noWrap/>
            <w:vAlign w:val="center"/>
          </w:tcPr>
          <w:p w14:paraId="79BCBAE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硬件、软件及对接服务</w:t>
            </w:r>
          </w:p>
        </w:tc>
      </w:tr>
      <w:tr w14:paraId="6ED710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0" w:hRule="atLeast"/>
        </w:trPr>
        <w:tc>
          <w:tcPr>
            <w:tcW w:w="0" w:type="auto"/>
            <w:vMerge w:val="continue"/>
            <w:tcBorders>
              <w:top w:val="nil"/>
              <w:left w:val="single" w:color="000000" w:sz="8" w:space="0"/>
              <w:bottom w:val="single" w:color="000000" w:sz="8" w:space="0"/>
              <w:right w:val="single" w:color="000000" w:sz="8" w:space="0"/>
            </w:tcBorders>
            <w:noWrap/>
            <w:vAlign w:val="center"/>
          </w:tcPr>
          <w:p w14:paraId="6F94965A">
            <w:pPr>
              <w:jc w:val="center"/>
              <w:rPr>
                <w:rFonts w:hint="eastAsia" w:ascii="宋体" w:hAnsi="宋体" w:eastAsia="宋体" w:cs="宋体"/>
                <w:i w:val="0"/>
                <w:iCs w:val="0"/>
                <w:color w:val="auto"/>
                <w:sz w:val="24"/>
                <w:szCs w:val="24"/>
                <w:highlight w:val="none"/>
                <w:u w:val="none"/>
              </w:rPr>
            </w:pPr>
          </w:p>
        </w:tc>
        <w:tc>
          <w:tcPr>
            <w:tcW w:w="1944" w:type="dxa"/>
            <w:vMerge w:val="continue"/>
            <w:tcBorders>
              <w:top w:val="nil"/>
              <w:left w:val="nil"/>
              <w:bottom w:val="single" w:color="000000" w:sz="8" w:space="0"/>
              <w:right w:val="single" w:color="000000" w:sz="8" w:space="0"/>
            </w:tcBorders>
            <w:noWrap w:val="0"/>
            <w:vAlign w:val="center"/>
          </w:tcPr>
          <w:p w14:paraId="1A5F2F92">
            <w:pPr>
              <w:jc w:val="center"/>
              <w:rPr>
                <w:rFonts w:hint="eastAsia" w:ascii="宋体" w:hAnsi="宋体" w:eastAsia="宋体" w:cs="宋体"/>
                <w:i w:val="0"/>
                <w:iCs w:val="0"/>
                <w:color w:val="auto"/>
                <w:sz w:val="24"/>
                <w:szCs w:val="24"/>
                <w:highlight w:val="none"/>
                <w:u w:val="none"/>
              </w:rPr>
            </w:pPr>
          </w:p>
        </w:tc>
        <w:tc>
          <w:tcPr>
            <w:tcW w:w="19751" w:type="dxa"/>
            <w:vMerge w:val="continue"/>
            <w:tcBorders>
              <w:top w:val="single" w:color="000000" w:sz="8" w:space="0"/>
              <w:left w:val="single" w:color="000000" w:sz="8" w:space="0"/>
              <w:bottom w:val="single" w:color="000000" w:sz="8" w:space="0"/>
              <w:right w:val="single" w:color="000000" w:sz="8" w:space="0"/>
            </w:tcBorders>
            <w:noWrap w:val="0"/>
            <w:vAlign w:val="center"/>
          </w:tcPr>
          <w:p w14:paraId="7EA17114">
            <w:pPr>
              <w:jc w:val="left"/>
              <w:rPr>
                <w:rFonts w:hint="eastAsia" w:ascii="宋体" w:hAnsi="宋体" w:eastAsia="宋体" w:cs="宋体"/>
                <w:i w:val="0"/>
                <w:iCs w:val="0"/>
                <w:color w:val="auto"/>
                <w:sz w:val="24"/>
                <w:szCs w:val="24"/>
                <w:highlight w:val="none"/>
                <w:u w:val="none"/>
              </w:rPr>
            </w:pPr>
          </w:p>
        </w:tc>
        <w:tc>
          <w:tcPr>
            <w:tcW w:w="0" w:type="auto"/>
            <w:vMerge w:val="continue"/>
            <w:tcBorders>
              <w:top w:val="nil"/>
              <w:left w:val="nil"/>
              <w:bottom w:val="single" w:color="000000" w:sz="8" w:space="0"/>
              <w:right w:val="single" w:color="000000" w:sz="8" w:space="0"/>
            </w:tcBorders>
            <w:noWrap/>
            <w:vAlign w:val="center"/>
          </w:tcPr>
          <w:p w14:paraId="1472EEE3">
            <w:pPr>
              <w:jc w:val="center"/>
              <w:rPr>
                <w:rFonts w:hint="eastAsia" w:ascii="宋体" w:hAnsi="宋体" w:eastAsia="宋体" w:cs="宋体"/>
                <w:i w:val="0"/>
                <w:iCs w:val="0"/>
                <w:color w:val="auto"/>
                <w:sz w:val="24"/>
                <w:szCs w:val="24"/>
                <w:highlight w:val="none"/>
                <w:u w:val="none"/>
              </w:rPr>
            </w:pPr>
          </w:p>
        </w:tc>
        <w:tc>
          <w:tcPr>
            <w:tcW w:w="0" w:type="auto"/>
            <w:vMerge w:val="continue"/>
            <w:tcBorders>
              <w:top w:val="nil"/>
              <w:left w:val="nil"/>
              <w:bottom w:val="single" w:color="000000" w:sz="8" w:space="0"/>
              <w:right w:val="single" w:color="000000" w:sz="8" w:space="0"/>
            </w:tcBorders>
            <w:noWrap/>
            <w:vAlign w:val="center"/>
          </w:tcPr>
          <w:p w14:paraId="3D07B6D7">
            <w:pPr>
              <w:jc w:val="center"/>
              <w:rPr>
                <w:rFonts w:hint="eastAsia" w:ascii="宋体" w:hAnsi="宋体" w:eastAsia="宋体" w:cs="宋体"/>
                <w:i w:val="0"/>
                <w:iCs w:val="0"/>
                <w:color w:val="auto"/>
                <w:sz w:val="24"/>
                <w:szCs w:val="24"/>
                <w:highlight w:val="none"/>
                <w:u w:val="none"/>
              </w:rPr>
            </w:pPr>
          </w:p>
        </w:tc>
        <w:tc>
          <w:tcPr>
            <w:tcW w:w="0" w:type="auto"/>
            <w:vMerge w:val="continue"/>
            <w:tcBorders>
              <w:top w:val="nil"/>
              <w:left w:val="nil"/>
              <w:bottom w:val="single" w:color="000000" w:sz="8" w:space="0"/>
              <w:right w:val="single" w:color="000000" w:sz="8" w:space="0"/>
            </w:tcBorders>
            <w:noWrap/>
            <w:vAlign w:val="center"/>
          </w:tcPr>
          <w:p w14:paraId="29C97F4B">
            <w:pPr>
              <w:jc w:val="center"/>
              <w:rPr>
                <w:rFonts w:hint="eastAsia" w:ascii="宋体" w:hAnsi="宋体" w:eastAsia="宋体" w:cs="宋体"/>
                <w:i w:val="0"/>
                <w:iCs w:val="0"/>
                <w:color w:val="auto"/>
                <w:sz w:val="24"/>
                <w:szCs w:val="24"/>
                <w:highlight w:val="none"/>
                <w:u w:val="none"/>
              </w:rPr>
            </w:pPr>
          </w:p>
        </w:tc>
        <w:tc>
          <w:tcPr>
            <w:tcW w:w="0" w:type="auto"/>
            <w:vMerge w:val="continue"/>
            <w:tcBorders>
              <w:top w:val="nil"/>
              <w:left w:val="nil"/>
              <w:bottom w:val="single" w:color="000000" w:sz="8" w:space="0"/>
              <w:right w:val="single" w:color="000000" w:sz="8" w:space="0"/>
            </w:tcBorders>
            <w:noWrap/>
            <w:vAlign w:val="center"/>
          </w:tcPr>
          <w:p w14:paraId="5DA538BE">
            <w:pPr>
              <w:jc w:val="center"/>
              <w:rPr>
                <w:rFonts w:hint="eastAsia" w:ascii="宋体" w:hAnsi="宋体" w:eastAsia="宋体" w:cs="宋体"/>
                <w:i w:val="0"/>
                <w:iCs w:val="0"/>
                <w:color w:val="auto"/>
                <w:sz w:val="24"/>
                <w:szCs w:val="24"/>
                <w:highlight w:val="none"/>
                <w:u w:val="none"/>
              </w:rPr>
            </w:pPr>
          </w:p>
        </w:tc>
        <w:tc>
          <w:tcPr>
            <w:tcW w:w="0" w:type="auto"/>
            <w:vMerge w:val="continue"/>
            <w:tcBorders>
              <w:top w:val="nil"/>
              <w:left w:val="nil"/>
              <w:bottom w:val="single" w:color="000000" w:sz="8" w:space="0"/>
              <w:right w:val="single" w:color="000000" w:sz="8" w:space="0"/>
            </w:tcBorders>
            <w:noWrap/>
            <w:vAlign w:val="center"/>
          </w:tcPr>
          <w:p w14:paraId="57714421">
            <w:pPr>
              <w:jc w:val="center"/>
              <w:rPr>
                <w:rFonts w:hint="eastAsia" w:ascii="宋体" w:hAnsi="宋体" w:eastAsia="宋体" w:cs="宋体"/>
                <w:i w:val="0"/>
                <w:iCs w:val="0"/>
                <w:color w:val="auto"/>
                <w:sz w:val="24"/>
                <w:szCs w:val="24"/>
                <w:highlight w:val="none"/>
                <w:u w:val="none"/>
              </w:rPr>
            </w:pPr>
          </w:p>
        </w:tc>
      </w:tr>
      <w:tr w14:paraId="54D1B4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0" w:hRule="atLeast"/>
        </w:trPr>
        <w:tc>
          <w:tcPr>
            <w:tcW w:w="0" w:type="auto"/>
            <w:tcBorders>
              <w:top w:val="nil"/>
              <w:left w:val="single" w:color="000000" w:sz="8" w:space="0"/>
              <w:bottom w:val="single" w:color="000000" w:sz="8" w:space="0"/>
              <w:right w:val="single" w:color="000000" w:sz="8" w:space="0"/>
            </w:tcBorders>
            <w:noWrap/>
            <w:vAlign w:val="center"/>
          </w:tcPr>
          <w:p w14:paraId="4813E00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944" w:type="dxa"/>
            <w:tcBorders>
              <w:top w:val="nil"/>
              <w:left w:val="nil"/>
              <w:bottom w:val="single" w:color="000000" w:sz="8" w:space="0"/>
              <w:right w:val="single" w:color="000000" w:sz="8" w:space="0"/>
            </w:tcBorders>
            <w:noWrap w:val="0"/>
            <w:vAlign w:val="center"/>
          </w:tcPr>
          <w:p w14:paraId="16692EE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呼叫平板</w:t>
            </w:r>
          </w:p>
        </w:tc>
        <w:tc>
          <w:tcPr>
            <w:tcW w:w="19751" w:type="dxa"/>
            <w:tcBorders>
              <w:top w:val="single" w:color="000000" w:sz="8" w:space="0"/>
              <w:left w:val="single" w:color="000000" w:sz="8" w:space="0"/>
              <w:bottom w:val="single" w:color="000000" w:sz="8" w:space="0"/>
              <w:right w:val="single" w:color="000000" w:sz="8" w:space="0"/>
            </w:tcBorders>
            <w:noWrap w:val="0"/>
            <w:vAlign w:val="center"/>
          </w:tcPr>
          <w:p w14:paraId="7B5094C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1、外  观：一体化设计，一体化设计，19°倾角设计，更适合窗口呼叫、电子签名，美观大方；</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2、外形尺寸：10.1 寸，236.94*132.48*58.67mm；</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主要特点：固件深度定制，支持通电开机、断电关机，定时开关机，采用一体式外观设计，只有一个开机按钮在机器后侧，不会发生误操作按钮发生程序退出情况；无音量物理开关，避免误操作造成的无声或低声提示。</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4、核心配置：CPU：四核，Quad core Cortex A7，RK3128；内存：2GB</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硬盘：16GB；</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5、LCD 屏：8"高清IPS 屏，对比度：800，亮度250CD/M2，1280*800分辨率，屏幕比例16：10；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6、指纹采集参数：NEL100半导体传感器；采集窗口尺寸：20.4*33.4mm；有效图像尺寸：12*15mm；图像大小：192*192pixel，图像像素：508DPI ;匹配方式:比对方式（1:1） 搜索方式（1：N）（500枚满注册时）&lt; 1秒; 指纹特征: 498字节 (提取时间&lt; 0.45 秒); 采集方式: 电容面阵半导体传感器 平面按压; 存储容量: 500枚； 安全等线：五级（从低到高：1.2.3.4.5）；</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7、输入设备：多点触控电容屏；</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8、网络：支持RJ45 10\100M百兆网卡，WIFI：802.11b/g/n，蓝牙4.0等</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9、接口：支持USB 2.0 Host/Micro USB OTG/HDMI output/TF卡/3.5mm立体声耳机输出/DC 电源输入等</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 实现排队系统中的呼叫功能。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 具有登陆、退出、顺呼、重呼、回呼、暂停等功能。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 支持远程信息修改，图片播放、音频播放、视频播放、定时开关机。</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 支持WIFI 连接、有线网络连接。</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 安卓操作系统，软件扩展功能非常强大。</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 机身塑料模具一体成型工艺结构，坚固耐用，安全可靠。</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7、与市政务服务平台、周到办实现无缝对接。</w:t>
            </w:r>
          </w:p>
        </w:tc>
        <w:tc>
          <w:tcPr>
            <w:tcW w:w="0" w:type="auto"/>
            <w:tcBorders>
              <w:top w:val="nil"/>
              <w:left w:val="nil"/>
              <w:bottom w:val="single" w:color="000000" w:sz="8" w:space="0"/>
              <w:right w:val="single" w:color="000000" w:sz="8" w:space="0"/>
            </w:tcBorders>
            <w:noWrap/>
            <w:vAlign w:val="center"/>
          </w:tcPr>
          <w:p w14:paraId="631B87E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0" w:type="auto"/>
            <w:tcBorders>
              <w:top w:val="nil"/>
              <w:left w:val="nil"/>
              <w:bottom w:val="single" w:color="000000" w:sz="8" w:space="0"/>
              <w:right w:val="single" w:color="000000" w:sz="8" w:space="0"/>
            </w:tcBorders>
            <w:noWrap/>
            <w:vAlign w:val="center"/>
          </w:tcPr>
          <w:p w14:paraId="5A2E907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75</w:t>
            </w:r>
          </w:p>
        </w:tc>
        <w:tc>
          <w:tcPr>
            <w:tcW w:w="0" w:type="auto"/>
            <w:tcBorders>
              <w:top w:val="nil"/>
              <w:left w:val="nil"/>
              <w:bottom w:val="single" w:color="000000" w:sz="8" w:space="0"/>
              <w:right w:val="single" w:color="000000" w:sz="8" w:space="0"/>
            </w:tcBorders>
            <w:noWrap/>
            <w:vAlign w:val="center"/>
          </w:tcPr>
          <w:p w14:paraId="472D7C14">
            <w:pPr>
              <w:jc w:val="right"/>
              <w:rPr>
                <w:rFonts w:hint="eastAsia" w:ascii="宋体" w:hAnsi="宋体" w:eastAsia="宋体" w:cs="宋体"/>
                <w:i w:val="0"/>
                <w:iCs w:val="0"/>
                <w:color w:val="auto"/>
                <w:sz w:val="24"/>
                <w:szCs w:val="24"/>
                <w:highlight w:val="none"/>
                <w:u w:val="none"/>
              </w:rPr>
            </w:pPr>
          </w:p>
        </w:tc>
        <w:tc>
          <w:tcPr>
            <w:tcW w:w="0" w:type="auto"/>
            <w:tcBorders>
              <w:top w:val="nil"/>
              <w:left w:val="nil"/>
              <w:bottom w:val="single" w:color="000000" w:sz="8" w:space="0"/>
              <w:right w:val="single" w:color="000000" w:sz="8" w:space="0"/>
            </w:tcBorders>
            <w:noWrap/>
            <w:vAlign w:val="center"/>
          </w:tcPr>
          <w:p w14:paraId="594BD081">
            <w:pPr>
              <w:jc w:val="right"/>
              <w:rPr>
                <w:rFonts w:hint="eastAsia" w:ascii="宋体" w:hAnsi="宋体" w:eastAsia="宋体" w:cs="宋体"/>
                <w:i w:val="0"/>
                <w:iCs w:val="0"/>
                <w:color w:val="auto"/>
                <w:sz w:val="24"/>
                <w:szCs w:val="24"/>
                <w:highlight w:val="none"/>
                <w:u w:val="none"/>
              </w:rPr>
            </w:pPr>
          </w:p>
        </w:tc>
        <w:tc>
          <w:tcPr>
            <w:tcW w:w="0" w:type="auto"/>
            <w:tcBorders>
              <w:top w:val="nil"/>
              <w:left w:val="nil"/>
              <w:bottom w:val="single" w:color="000000" w:sz="8" w:space="0"/>
              <w:right w:val="single" w:color="000000" w:sz="8" w:space="0"/>
            </w:tcBorders>
            <w:noWrap/>
            <w:vAlign w:val="center"/>
          </w:tcPr>
          <w:p w14:paraId="735A599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硬件、软件及对接服务</w:t>
            </w:r>
          </w:p>
        </w:tc>
      </w:tr>
      <w:tr w14:paraId="70158E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0" w:hRule="atLeast"/>
        </w:trPr>
        <w:tc>
          <w:tcPr>
            <w:tcW w:w="0" w:type="auto"/>
            <w:tcBorders>
              <w:top w:val="nil"/>
              <w:left w:val="single" w:color="000000" w:sz="8" w:space="0"/>
              <w:bottom w:val="single" w:color="000000" w:sz="8" w:space="0"/>
              <w:right w:val="single" w:color="000000" w:sz="8" w:space="0"/>
            </w:tcBorders>
            <w:noWrap/>
            <w:vAlign w:val="center"/>
          </w:tcPr>
          <w:p w14:paraId="500224B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1944" w:type="dxa"/>
            <w:tcBorders>
              <w:top w:val="nil"/>
              <w:left w:val="nil"/>
              <w:bottom w:val="single" w:color="000000" w:sz="8" w:space="0"/>
              <w:right w:val="single" w:color="000000" w:sz="8" w:space="0"/>
            </w:tcBorders>
            <w:noWrap w:val="0"/>
            <w:vAlign w:val="center"/>
          </w:tcPr>
          <w:p w14:paraId="4B5293C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评价平板</w:t>
            </w:r>
          </w:p>
        </w:tc>
        <w:tc>
          <w:tcPr>
            <w:tcW w:w="19751" w:type="dxa"/>
            <w:tcBorders>
              <w:top w:val="single" w:color="000000" w:sz="8" w:space="0"/>
              <w:left w:val="single" w:color="000000" w:sz="8" w:space="0"/>
              <w:bottom w:val="single" w:color="000000" w:sz="8" w:space="0"/>
              <w:right w:val="single" w:color="000000" w:sz="8" w:space="0"/>
            </w:tcBorders>
            <w:noWrap w:val="0"/>
            <w:vAlign w:val="center"/>
          </w:tcPr>
          <w:p w14:paraId="30DD864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1、外   观：一体化设计，57°黄金倾角设计，更适合窗口交互，美观大方；</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2、外形尺寸：10.1 寸，长240.8mmX宽105mmX高154.65mm；</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主要特点：固件深度定制，支持通电开机、断电关机，定时开关机，采用一体式外观设计，只在机器后侧配置一个开机按钮，以防止误操作按钮发生程序退出情况；无音量物理开关，避免误操作造成的无声或低声提示。</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4、核心配置：CPU：四核，Quad core Cortex A7，RK3128；内存：2GB</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硬盘：16GB；</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5、LCD 屏：10.1"高清IPS 屏，对比度：800，亮度250CD/M2，1280*800分辨率，屏幕比例16：10；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6、摄像头：前置200W摄像头；</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7、输入设备：多点触控电容屏，内置电容手写笔；</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8、网络：支持RJ45 10\100M百兆网卡，WIFI：802.11b/g/n，蓝牙4.0等</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9、接口：支持USB 2.0 Host/Micro USB OTG/HDMI output/TF卡/3.5mm立体声耳机输出/DC 电源输入等</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 通过系统的点评与评价功能，为使用单位建立有效的绩效考核机制提供依据，促使窗口服务人员提高服务质量与工作效率。</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 简洁的设备外观与专业美工设计的系统界面将提高服务窗口的形象与质量。</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 通过后台管理系统可以发布业务办理流程，为办事人员提供指导，最终提供更人性化的服务。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 完善的后台管理功能允许用户发布相关信息，如政策法规、通知通告、理财基金、外汇牌价等信息。</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 预留第三方开放界面，允许使用单位的业务系统接入，为办事人员提供业务办理流程跟踪，提高办事过程的透明化、公开化、互动化。</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 丰富的评价分析报表利于决策分析。</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 提供完善的二次开发接口，让设备更容易进行集成。</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8、与市政务服务平台、周到办实现无缝对接。</w:t>
            </w:r>
          </w:p>
        </w:tc>
        <w:tc>
          <w:tcPr>
            <w:tcW w:w="0" w:type="auto"/>
            <w:tcBorders>
              <w:top w:val="nil"/>
              <w:left w:val="nil"/>
              <w:bottom w:val="single" w:color="000000" w:sz="8" w:space="0"/>
              <w:right w:val="single" w:color="000000" w:sz="8" w:space="0"/>
            </w:tcBorders>
            <w:noWrap/>
            <w:vAlign w:val="center"/>
          </w:tcPr>
          <w:p w14:paraId="50BDF06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0" w:type="auto"/>
            <w:tcBorders>
              <w:top w:val="nil"/>
              <w:left w:val="nil"/>
              <w:bottom w:val="single" w:color="000000" w:sz="8" w:space="0"/>
              <w:right w:val="single" w:color="000000" w:sz="8" w:space="0"/>
            </w:tcBorders>
            <w:noWrap/>
            <w:vAlign w:val="center"/>
          </w:tcPr>
          <w:p w14:paraId="52540AA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75</w:t>
            </w:r>
          </w:p>
        </w:tc>
        <w:tc>
          <w:tcPr>
            <w:tcW w:w="0" w:type="auto"/>
            <w:tcBorders>
              <w:top w:val="nil"/>
              <w:left w:val="nil"/>
              <w:bottom w:val="single" w:color="000000" w:sz="8" w:space="0"/>
              <w:right w:val="single" w:color="000000" w:sz="8" w:space="0"/>
            </w:tcBorders>
            <w:noWrap/>
            <w:vAlign w:val="center"/>
          </w:tcPr>
          <w:p w14:paraId="08A8AD38">
            <w:pPr>
              <w:jc w:val="right"/>
              <w:rPr>
                <w:rFonts w:hint="eastAsia" w:ascii="宋体" w:hAnsi="宋体" w:eastAsia="宋体" w:cs="宋体"/>
                <w:i w:val="0"/>
                <w:iCs w:val="0"/>
                <w:color w:val="auto"/>
                <w:sz w:val="24"/>
                <w:szCs w:val="24"/>
                <w:highlight w:val="none"/>
                <w:u w:val="none"/>
              </w:rPr>
            </w:pPr>
          </w:p>
        </w:tc>
        <w:tc>
          <w:tcPr>
            <w:tcW w:w="0" w:type="auto"/>
            <w:tcBorders>
              <w:top w:val="nil"/>
              <w:left w:val="nil"/>
              <w:bottom w:val="single" w:color="000000" w:sz="8" w:space="0"/>
              <w:right w:val="single" w:color="000000" w:sz="8" w:space="0"/>
            </w:tcBorders>
            <w:noWrap/>
            <w:vAlign w:val="center"/>
          </w:tcPr>
          <w:p w14:paraId="65D361C4">
            <w:pPr>
              <w:jc w:val="right"/>
              <w:rPr>
                <w:rFonts w:hint="eastAsia" w:ascii="宋体" w:hAnsi="宋体" w:eastAsia="宋体" w:cs="宋体"/>
                <w:i w:val="0"/>
                <w:iCs w:val="0"/>
                <w:color w:val="auto"/>
                <w:sz w:val="24"/>
                <w:szCs w:val="24"/>
                <w:highlight w:val="none"/>
                <w:u w:val="none"/>
              </w:rPr>
            </w:pPr>
          </w:p>
        </w:tc>
        <w:tc>
          <w:tcPr>
            <w:tcW w:w="0" w:type="auto"/>
            <w:tcBorders>
              <w:top w:val="nil"/>
              <w:left w:val="nil"/>
              <w:bottom w:val="single" w:color="000000" w:sz="8" w:space="0"/>
              <w:right w:val="single" w:color="000000" w:sz="8" w:space="0"/>
            </w:tcBorders>
            <w:noWrap/>
            <w:vAlign w:val="center"/>
          </w:tcPr>
          <w:p w14:paraId="6BC0064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硬件、软件及对接服务</w:t>
            </w:r>
          </w:p>
        </w:tc>
      </w:tr>
      <w:tr w14:paraId="711B2A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180" w:hRule="atLeast"/>
        </w:trPr>
        <w:tc>
          <w:tcPr>
            <w:tcW w:w="0" w:type="auto"/>
            <w:vMerge w:val="restart"/>
            <w:tcBorders>
              <w:top w:val="nil"/>
              <w:left w:val="single" w:color="000000" w:sz="8" w:space="0"/>
              <w:bottom w:val="single" w:color="000000" w:sz="8" w:space="0"/>
              <w:right w:val="single" w:color="000000" w:sz="8" w:space="0"/>
            </w:tcBorders>
            <w:noWrap/>
            <w:vAlign w:val="center"/>
          </w:tcPr>
          <w:p w14:paraId="021857B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1944" w:type="dxa"/>
            <w:vMerge w:val="restart"/>
            <w:tcBorders>
              <w:top w:val="nil"/>
              <w:left w:val="nil"/>
              <w:bottom w:val="single" w:color="000000" w:sz="8" w:space="0"/>
              <w:right w:val="single" w:color="000000" w:sz="8" w:space="0"/>
            </w:tcBorders>
            <w:noWrap w:val="0"/>
            <w:vAlign w:val="center"/>
          </w:tcPr>
          <w:p w14:paraId="2634EC7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政务服务自助终端</w:t>
            </w:r>
          </w:p>
        </w:tc>
        <w:tc>
          <w:tcPr>
            <w:tcW w:w="19751" w:type="dxa"/>
            <w:vMerge w:val="restart"/>
            <w:tcBorders>
              <w:top w:val="single" w:color="000000" w:sz="8" w:space="0"/>
              <w:left w:val="single" w:color="000000" w:sz="8" w:space="0"/>
              <w:bottom w:val="single" w:color="000000" w:sz="8" w:space="0"/>
              <w:right w:val="single" w:color="000000" w:sz="8" w:space="0"/>
            </w:tcBorders>
            <w:noWrap w:val="0"/>
            <w:vAlign w:val="center"/>
          </w:tcPr>
          <w:p w14:paraId="608B531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一、硬件参数</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1、机柜</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（1）宽度 681mm,深度833mm,高度1717mm</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（2）整机采用武钢优质冷轧钢板制造，坚硬厚实，钢板厚度1.5mm</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（3）内部结构：布线规范整齐，布局合理；</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（4）表层全部采用优质塑粉喷涂，防水、防锈、防腐、防静电、耐磨材质；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2、工控主机</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CPU四代i5，主频3.5GHz，硬盘 256G SSD，内存 8GB DDR3；</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3、触摸电容屏</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上下双屏设计；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引导上屏21.5 寸，分辨率： 1920*1080；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操作下屏21.5 寸；分辨率： 1920*1080；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触摸点击寿命无限次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4、二代身份证阅读器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公安部授权产品</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符合ISO 14443 Type B标准，USB连接；阅读距离：0-5cm；阅读时间：&lt;1s；</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5、热敏打印机</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（1）热敏打印，打印纸宽度80mm</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（2）打印速度32行/秒</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（3）具备缺纸报警功能，自动切纸、GB2312宋体一二级字库、IBM字符集II</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6、高拍仪</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最大 A4 幅面；像素1600W像素；1/2.5 CMOS传感器，支持图像格式包括JPG、TIF、PNG、BMP；光源:独立灯室，配多方向LED发光板，确保光线均匀、充足</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7、彩色激光打印机</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产品类型：彩色激光打印机</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最大打印幅面：A4</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最高分辨率：600×600dpi</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打印速度正常：24ppm</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双面打印：支持</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网络功能：有线/无线网络</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首页打印时间：14秒</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8、二维码扫描仪</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 xml:space="preserve">扫描头体积（长x宽x高）：65MM x 61MM x 18.8MM 识读精度 :≥5mil </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 xml:space="preserve">识读码制： 2D 、1D </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输入电压：5±0.5VDC</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 xml:space="preserve">图像传感器 :CMOS </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分辨率 :640 * 480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9、双目摄像头</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像素：黑白像素 130W，彩色像素 300W，图像感光片1/2.7”CMOSAtpina；图像格式支持JPG、TIF、PNG、BMP，支持活体检测功能;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10、操作键盘</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 xml:space="preserve">（1）主要功能说明： </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 xml:space="preserve">标准PS/2、USB通讯，与各终端设备操作系统兼容性好，整体设计可实现防尘，防暴；   </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（2）产品机械性能：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 xml:space="preserve">按键：不锈钢 </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（3）产品电气性能：</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 xml:space="preserve">接口类型：USB 、PS/2 </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 xml:space="preserve">电压： 5.0V±10% </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 xml:space="preserve">功耗： ≤0.5W(动态)，≤0.2W(静态) </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11、供电UPS</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 xml:space="preserve">三种充电技术，充电时间更短。 </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 xml:space="preserve">多重保护系统 </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 xml:space="preserve">机内设有先进霍尔器件，可以预防连接错误引起 UPS 过载损坏，UPS将会自动并关闭系统输出。 </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机内置有精确控制的电源保护电路，消除浪涌、雷电、低压和尖峰电压等干扰。快速的熔断器提供短路及过载保护。</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单台PC最长供电时间 10分钟。</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12、麦克风</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尺寸：62mm*30mm *22mm  频率响应：20-20K Hz</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信噪比：50dB(1米40dB音源）输出阻抗：600-1000（非平衡）</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监听范围：5-100平方（连续可调）</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供电方式：电源供应12V1-2A直流稳</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13、与省政务服务平台、市政务服务平台、周到办实现无缝对接。</w:t>
            </w:r>
          </w:p>
        </w:tc>
        <w:tc>
          <w:tcPr>
            <w:tcW w:w="0" w:type="auto"/>
            <w:vMerge w:val="restart"/>
            <w:tcBorders>
              <w:top w:val="nil"/>
              <w:left w:val="nil"/>
              <w:bottom w:val="single" w:color="000000" w:sz="8" w:space="0"/>
              <w:right w:val="single" w:color="000000" w:sz="8" w:space="0"/>
            </w:tcBorders>
            <w:noWrap/>
            <w:vAlign w:val="center"/>
          </w:tcPr>
          <w:p w14:paraId="6AD2122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0" w:type="auto"/>
            <w:vMerge w:val="restart"/>
            <w:tcBorders>
              <w:top w:val="nil"/>
              <w:left w:val="nil"/>
              <w:bottom w:val="single" w:color="000000" w:sz="8" w:space="0"/>
              <w:right w:val="single" w:color="000000" w:sz="8" w:space="0"/>
            </w:tcBorders>
            <w:noWrap/>
            <w:vAlign w:val="center"/>
          </w:tcPr>
          <w:p w14:paraId="1239425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w:t>
            </w:r>
          </w:p>
        </w:tc>
        <w:tc>
          <w:tcPr>
            <w:tcW w:w="0" w:type="auto"/>
            <w:vMerge w:val="restart"/>
            <w:tcBorders>
              <w:top w:val="nil"/>
              <w:left w:val="nil"/>
              <w:bottom w:val="single" w:color="000000" w:sz="8" w:space="0"/>
              <w:right w:val="single" w:color="000000" w:sz="8" w:space="0"/>
            </w:tcBorders>
            <w:noWrap/>
            <w:vAlign w:val="center"/>
          </w:tcPr>
          <w:p w14:paraId="310D645E">
            <w:pPr>
              <w:jc w:val="center"/>
              <w:rPr>
                <w:rFonts w:hint="eastAsia" w:ascii="宋体" w:hAnsi="宋体" w:eastAsia="宋体" w:cs="宋体"/>
                <w:i w:val="0"/>
                <w:iCs w:val="0"/>
                <w:color w:val="auto"/>
                <w:sz w:val="24"/>
                <w:szCs w:val="24"/>
                <w:highlight w:val="none"/>
                <w:u w:val="none"/>
              </w:rPr>
            </w:pPr>
          </w:p>
        </w:tc>
        <w:tc>
          <w:tcPr>
            <w:tcW w:w="0" w:type="auto"/>
            <w:vMerge w:val="restart"/>
            <w:tcBorders>
              <w:top w:val="nil"/>
              <w:left w:val="nil"/>
              <w:bottom w:val="single" w:color="000000" w:sz="8" w:space="0"/>
              <w:right w:val="nil"/>
            </w:tcBorders>
            <w:noWrap/>
            <w:vAlign w:val="center"/>
          </w:tcPr>
          <w:p w14:paraId="5E5B2548">
            <w:pPr>
              <w:jc w:val="center"/>
              <w:rPr>
                <w:rFonts w:hint="eastAsia" w:ascii="宋体" w:hAnsi="宋体" w:eastAsia="宋体" w:cs="宋体"/>
                <w:i w:val="0"/>
                <w:iCs w:val="0"/>
                <w:color w:val="auto"/>
                <w:sz w:val="24"/>
                <w:szCs w:val="24"/>
                <w:highlight w:val="none"/>
                <w:u w:val="none"/>
              </w:rPr>
            </w:pPr>
          </w:p>
        </w:tc>
        <w:tc>
          <w:tcPr>
            <w:tcW w:w="0" w:type="auto"/>
            <w:vMerge w:val="restart"/>
            <w:tcBorders>
              <w:top w:val="single" w:color="000000" w:sz="8" w:space="0"/>
              <w:left w:val="single" w:color="000000" w:sz="8" w:space="0"/>
              <w:bottom w:val="single" w:color="000000" w:sz="8" w:space="0"/>
              <w:right w:val="single" w:color="000000" w:sz="8" w:space="0"/>
            </w:tcBorders>
            <w:noWrap/>
            <w:vAlign w:val="center"/>
          </w:tcPr>
          <w:p w14:paraId="7580713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硬件、软件及对接服务</w:t>
            </w:r>
          </w:p>
        </w:tc>
      </w:tr>
      <w:tr w14:paraId="648886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500" w:hRule="atLeast"/>
        </w:trPr>
        <w:tc>
          <w:tcPr>
            <w:tcW w:w="0" w:type="auto"/>
            <w:vMerge w:val="continue"/>
            <w:tcBorders>
              <w:top w:val="nil"/>
              <w:left w:val="single" w:color="000000" w:sz="8" w:space="0"/>
              <w:bottom w:val="single" w:color="000000" w:sz="8" w:space="0"/>
              <w:right w:val="single" w:color="000000" w:sz="8" w:space="0"/>
            </w:tcBorders>
            <w:noWrap/>
            <w:vAlign w:val="center"/>
          </w:tcPr>
          <w:p w14:paraId="15133284">
            <w:pPr>
              <w:jc w:val="center"/>
              <w:rPr>
                <w:rFonts w:hint="eastAsia" w:ascii="宋体" w:hAnsi="宋体" w:eastAsia="宋体" w:cs="宋体"/>
                <w:i w:val="0"/>
                <w:iCs w:val="0"/>
                <w:color w:val="auto"/>
                <w:sz w:val="24"/>
                <w:szCs w:val="24"/>
                <w:highlight w:val="none"/>
                <w:u w:val="none"/>
              </w:rPr>
            </w:pPr>
          </w:p>
        </w:tc>
        <w:tc>
          <w:tcPr>
            <w:tcW w:w="1944" w:type="dxa"/>
            <w:vMerge w:val="continue"/>
            <w:tcBorders>
              <w:top w:val="nil"/>
              <w:left w:val="nil"/>
              <w:bottom w:val="single" w:color="000000" w:sz="8" w:space="0"/>
              <w:right w:val="single" w:color="000000" w:sz="8" w:space="0"/>
            </w:tcBorders>
            <w:noWrap w:val="0"/>
            <w:vAlign w:val="center"/>
          </w:tcPr>
          <w:p w14:paraId="690914D4">
            <w:pPr>
              <w:jc w:val="center"/>
              <w:rPr>
                <w:rFonts w:hint="eastAsia" w:ascii="宋体" w:hAnsi="宋体" w:eastAsia="宋体" w:cs="宋体"/>
                <w:i w:val="0"/>
                <w:iCs w:val="0"/>
                <w:color w:val="auto"/>
                <w:sz w:val="24"/>
                <w:szCs w:val="24"/>
                <w:highlight w:val="none"/>
                <w:u w:val="none"/>
              </w:rPr>
            </w:pPr>
          </w:p>
        </w:tc>
        <w:tc>
          <w:tcPr>
            <w:tcW w:w="19751" w:type="dxa"/>
            <w:vMerge w:val="continue"/>
            <w:tcBorders>
              <w:top w:val="single" w:color="000000" w:sz="8" w:space="0"/>
              <w:left w:val="single" w:color="000000" w:sz="8" w:space="0"/>
              <w:bottom w:val="single" w:color="000000" w:sz="8" w:space="0"/>
              <w:right w:val="single" w:color="000000" w:sz="8" w:space="0"/>
            </w:tcBorders>
            <w:noWrap w:val="0"/>
            <w:vAlign w:val="center"/>
          </w:tcPr>
          <w:p w14:paraId="53166FA6">
            <w:pPr>
              <w:jc w:val="left"/>
              <w:rPr>
                <w:rFonts w:hint="eastAsia" w:ascii="宋体" w:hAnsi="宋体" w:eastAsia="宋体" w:cs="宋体"/>
                <w:i w:val="0"/>
                <w:iCs w:val="0"/>
                <w:color w:val="auto"/>
                <w:sz w:val="24"/>
                <w:szCs w:val="24"/>
                <w:highlight w:val="none"/>
                <w:u w:val="none"/>
              </w:rPr>
            </w:pPr>
          </w:p>
        </w:tc>
        <w:tc>
          <w:tcPr>
            <w:tcW w:w="0" w:type="auto"/>
            <w:vMerge w:val="continue"/>
            <w:tcBorders>
              <w:top w:val="nil"/>
              <w:left w:val="nil"/>
              <w:bottom w:val="single" w:color="000000" w:sz="8" w:space="0"/>
              <w:right w:val="single" w:color="000000" w:sz="8" w:space="0"/>
            </w:tcBorders>
            <w:noWrap/>
            <w:vAlign w:val="center"/>
          </w:tcPr>
          <w:p w14:paraId="54C85506">
            <w:pPr>
              <w:jc w:val="center"/>
              <w:rPr>
                <w:rFonts w:hint="eastAsia" w:ascii="宋体" w:hAnsi="宋体" w:eastAsia="宋体" w:cs="宋体"/>
                <w:i w:val="0"/>
                <w:iCs w:val="0"/>
                <w:color w:val="auto"/>
                <w:sz w:val="24"/>
                <w:szCs w:val="24"/>
                <w:highlight w:val="none"/>
                <w:u w:val="none"/>
              </w:rPr>
            </w:pPr>
          </w:p>
        </w:tc>
        <w:tc>
          <w:tcPr>
            <w:tcW w:w="0" w:type="auto"/>
            <w:vMerge w:val="continue"/>
            <w:tcBorders>
              <w:top w:val="nil"/>
              <w:left w:val="nil"/>
              <w:bottom w:val="single" w:color="000000" w:sz="8" w:space="0"/>
              <w:right w:val="single" w:color="000000" w:sz="8" w:space="0"/>
            </w:tcBorders>
            <w:noWrap/>
            <w:vAlign w:val="center"/>
          </w:tcPr>
          <w:p w14:paraId="6B8BBA3B">
            <w:pPr>
              <w:jc w:val="center"/>
              <w:rPr>
                <w:rFonts w:hint="eastAsia" w:ascii="宋体" w:hAnsi="宋体" w:eastAsia="宋体" w:cs="宋体"/>
                <w:i w:val="0"/>
                <w:iCs w:val="0"/>
                <w:color w:val="auto"/>
                <w:sz w:val="24"/>
                <w:szCs w:val="24"/>
                <w:highlight w:val="none"/>
                <w:u w:val="none"/>
              </w:rPr>
            </w:pPr>
          </w:p>
        </w:tc>
        <w:tc>
          <w:tcPr>
            <w:tcW w:w="0" w:type="auto"/>
            <w:vMerge w:val="continue"/>
            <w:tcBorders>
              <w:top w:val="nil"/>
              <w:left w:val="nil"/>
              <w:bottom w:val="single" w:color="000000" w:sz="8" w:space="0"/>
              <w:right w:val="single" w:color="000000" w:sz="8" w:space="0"/>
            </w:tcBorders>
            <w:noWrap/>
            <w:vAlign w:val="center"/>
          </w:tcPr>
          <w:p w14:paraId="02208D33">
            <w:pPr>
              <w:jc w:val="center"/>
              <w:rPr>
                <w:rFonts w:hint="eastAsia" w:ascii="宋体" w:hAnsi="宋体" w:eastAsia="宋体" w:cs="宋体"/>
                <w:i w:val="0"/>
                <w:iCs w:val="0"/>
                <w:color w:val="auto"/>
                <w:sz w:val="24"/>
                <w:szCs w:val="24"/>
                <w:highlight w:val="none"/>
                <w:u w:val="none"/>
              </w:rPr>
            </w:pPr>
          </w:p>
        </w:tc>
        <w:tc>
          <w:tcPr>
            <w:tcW w:w="0" w:type="auto"/>
            <w:vMerge w:val="continue"/>
            <w:tcBorders>
              <w:top w:val="nil"/>
              <w:left w:val="nil"/>
              <w:bottom w:val="single" w:color="000000" w:sz="8" w:space="0"/>
              <w:right w:val="nil"/>
            </w:tcBorders>
            <w:noWrap/>
            <w:vAlign w:val="center"/>
          </w:tcPr>
          <w:p w14:paraId="2E2B4B93">
            <w:pPr>
              <w:jc w:val="center"/>
              <w:rPr>
                <w:rFonts w:hint="eastAsia" w:ascii="宋体" w:hAnsi="宋体" w:eastAsia="宋体" w:cs="宋体"/>
                <w:i w:val="0"/>
                <w:iCs w:val="0"/>
                <w:color w:val="auto"/>
                <w:sz w:val="24"/>
                <w:szCs w:val="24"/>
                <w:highlight w:val="none"/>
                <w:u w:val="none"/>
              </w:rPr>
            </w:pPr>
          </w:p>
        </w:tc>
        <w:tc>
          <w:tcPr>
            <w:tcW w:w="0" w:type="auto"/>
            <w:vMerge w:val="continue"/>
            <w:tcBorders>
              <w:top w:val="single" w:color="000000" w:sz="8" w:space="0"/>
              <w:left w:val="single" w:color="000000" w:sz="8" w:space="0"/>
              <w:bottom w:val="single" w:color="000000" w:sz="8" w:space="0"/>
              <w:right w:val="single" w:color="000000" w:sz="8" w:space="0"/>
            </w:tcBorders>
            <w:noWrap/>
            <w:vAlign w:val="center"/>
          </w:tcPr>
          <w:p w14:paraId="4FC05E3E">
            <w:pPr>
              <w:jc w:val="center"/>
              <w:rPr>
                <w:rFonts w:hint="eastAsia" w:ascii="宋体" w:hAnsi="宋体" w:eastAsia="宋体" w:cs="宋体"/>
                <w:i w:val="0"/>
                <w:iCs w:val="0"/>
                <w:color w:val="auto"/>
                <w:sz w:val="24"/>
                <w:szCs w:val="24"/>
                <w:highlight w:val="none"/>
                <w:u w:val="none"/>
              </w:rPr>
            </w:pPr>
          </w:p>
        </w:tc>
      </w:tr>
      <w:tr w14:paraId="44E6DF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0" w:hRule="atLeast"/>
        </w:trPr>
        <w:tc>
          <w:tcPr>
            <w:tcW w:w="0" w:type="auto"/>
            <w:vMerge w:val="continue"/>
            <w:tcBorders>
              <w:top w:val="nil"/>
              <w:left w:val="single" w:color="000000" w:sz="8" w:space="0"/>
              <w:bottom w:val="single" w:color="000000" w:sz="8" w:space="0"/>
              <w:right w:val="single" w:color="000000" w:sz="8" w:space="0"/>
            </w:tcBorders>
            <w:noWrap/>
            <w:vAlign w:val="center"/>
          </w:tcPr>
          <w:p w14:paraId="58E799B3">
            <w:pPr>
              <w:jc w:val="center"/>
              <w:rPr>
                <w:rFonts w:hint="eastAsia" w:ascii="宋体" w:hAnsi="宋体" w:eastAsia="宋体" w:cs="宋体"/>
                <w:i w:val="0"/>
                <w:iCs w:val="0"/>
                <w:color w:val="auto"/>
                <w:sz w:val="24"/>
                <w:szCs w:val="24"/>
                <w:highlight w:val="none"/>
                <w:u w:val="none"/>
              </w:rPr>
            </w:pPr>
          </w:p>
        </w:tc>
        <w:tc>
          <w:tcPr>
            <w:tcW w:w="1944" w:type="dxa"/>
            <w:vMerge w:val="continue"/>
            <w:tcBorders>
              <w:top w:val="nil"/>
              <w:left w:val="nil"/>
              <w:bottom w:val="single" w:color="000000" w:sz="8" w:space="0"/>
              <w:right w:val="single" w:color="000000" w:sz="8" w:space="0"/>
            </w:tcBorders>
            <w:noWrap w:val="0"/>
            <w:vAlign w:val="center"/>
          </w:tcPr>
          <w:p w14:paraId="042FBCAD">
            <w:pPr>
              <w:jc w:val="center"/>
              <w:rPr>
                <w:rFonts w:hint="eastAsia" w:ascii="宋体" w:hAnsi="宋体" w:eastAsia="宋体" w:cs="宋体"/>
                <w:i w:val="0"/>
                <w:iCs w:val="0"/>
                <w:color w:val="auto"/>
                <w:sz w:val="24"/>
                <w:szCs w:val="24"/>
                <w:highlight w:val="none"/>
                <w:u w:val="none"/>
              </w:rPr>
            </w:pPr>
          </w:p>
        </w:tc>
        <w:tc>
          <w:tcPr>
            <w:tcW w:w="19751" w:type="dxa"/>
            <w:vMerge w:val="continue"/>
            <w:tcBorders>
              <w:top w:val="single" w:color="000000" w:sz="8" w:space="0"/>
              <w:left w:val="single" w:color="000000" w:sz="8" w:space="0"/>
              <w:bottom w:val="single" w:color="000000" w:sz="8" w:space="0"/>
              <w:right w:val="single" w:color="000000" w:sz="8" w:space="0"/>
            </w:tcBorders>
            <w:noWrap w:val="0"/>
            <w:vAlign w:val="center"/>
          </w:tcPr>
          <w:p w14:paraId="0443C3B0">
            <w:pPr>
              <w:jc w:val="left"/>
              <w:rPr>
                <w:rFonts w:hint="eastAsia" w:ascii="宋体" w:hAnsi="宋体" w:eastAsia="宋体" w:cs="宋体"/>
                <w:i w:val="0"/>
                <w:iCs w:val="0"/>
                <w:color w:val="auto"/>
                <w:sz w:val="24"/>
                <w:szCs w:val="24"/>
                <w:highlight w:val="none"/>
                <w:u w:val="none"/>
              </w:rPr>
            </w:pPr>
          </w:p>
        </w:tc>
        <w:tc>
          <w:tcPr>
            <w:tcW w:w="0" w:type="auto"/>
            <w:vMerge w:val="continue"/>
            <w:tcBorders>
              <w:top w:val="nil"/>
              <w:left w:val="nil"/>
              <w:bottom w:val="single" w:color="000000" w:sz="8" w:space="0"/>
              <w:right w:val="single" w:color="000000" w:sz="8" w:space="0"/>
            </w:tcBorders>
            <w:noWrap/>
            <w:vAlign w:val="center"/>
          </w:tcPr>
          <w:p w14:paraId="3E349726">
            <w:pPr>
              <w:jc w:val="center"/>
              <w:rPr>
                <w:rFonts w:hint="eastAsia" w:ascii="宋体" w:hAnsi="宋体" w:eastAsia="宋体" w:cs="宋体"/>
                <w:i w:val="0"/>
                <w:iCs w:val="0"/>
                <w:color w:val="auto"/>
                <w:sz w:val="24"/>
                <w:szCs w:val="24"/>
                <w:highlight w:val="none"/>
                <w:u w:val="none"/>
              </w:rPr>
            </w:pPr>
          </w:p>
        </w:tc>
        <w:tc>
          <w:tcPr>
            <w:tcW w:w="0" w:type="auto"/>
            <w:vMerge w:val="continue"/>
            <w:tcBorders>
              <w:top w:val="nil"/>
              <w:left w:val="nil"/>
              <w:bottom w:val="single" w:color="000000" w:sz="8" w:space="0"/>
              <w:right w:val="single" w:color="000000" w:sz="8" w:space="0"/>
            </w:tcBorders>
            <w:noWrap/>
            <w:vAlign w:val="center"/>
          </w:tcPr>
          <w:p w14:paraId="6E7B0B91">
            <w:pPr>
              <w:jc w:val="center"/>
              <w:rPr>
                <w:rFonts w:hint="eastAsia" w:ascii="宋体" w:hAnsi="宋体" w:eastAsia="宋体" w:cs="宋体"/>
                <w:i w:val="0"/>
                <w:iCs w:val="0"/>
                <w:color w:val="auto"/>
                <w:sz w:val="24"/>
                <w:szCs w:val="24"/>
                <w:highlight w:val="none"/>
                <w:u w:val="none"/>
              </w:rPr>
            </w:pPr>
          </w:p>
        </w:tc>
        <w:tc>
          <w:tcPr>
            <w:tcW w:w="0" w:type="auto"/>
            <w:vMerge w:val="continue"/>
            <w:tcBorders>
              <w:top w:val="nil"/>
              <w:left w:val="nil"/>
              <w:bottom w:val="single" w:color="000000" w:sz="8" w:space="0"/>
              <w:right w:val="single" w:color="000000" w:sz="8" w:space="0"/>
            </w:tcBorders>
            <w:noWrap/>
            <w:vAlign w:val="center"/>
          </w:tcPr>
          <w:p w14:paraId="16CFBB5B">
            <w:pPr>
              <w:jc w:val="center"/>
              <w:rPr>
                <w:rFonts w:hint="eastAsia" w:ascii="宋体" w:hAnsi="宋体" w:eastAsia="宋体" w:cs="宋体"/>
                <w:i w:val="0"/>
                <w:iCs w:val="0"/>
                <w:color w:val="auto"/>
                <w:sz w:val="24"/>
                <w:szCs w:val="24"/>
                <w:highlight w:val="none"/>
                <w:u w:val="none"/>
              </w:rPr>
            </w:pPr>
          </w:p>
        </w:tc>
        <w:tc>
          <w:tcPr>
            <w:tcW w:w="0" w:type="auto"/>
            <w:vMerge w:val="continue"/>
            <w:tcBorders>
              <w:top w:val="nil"/>
              <w:left w:val="nil"/>
              <w:bottom w:val="single" w:color="000000" w:sz="8" w:space="0"/>
              <w:right w:val="nil"/>
            </w:tcBorders>
            <w:noWrap/>
            <w:vAlign w:val="center"/>
          </w:tcPr>
          <w:p w14:paraId="6AAAC56E">
            <w:pPr>
              <w:jc w:val="center"/>
              <w:rPr>
                <w:rFonts w:hint="eastAsia" w:ascii="宋体" w:hAnsi="宋体" w:eastAsia="宋体" w:cs="宋体"/>
                <w:i w:val="0"/>
                <w:iCs w:val="0"/>
                <w:color w:val="auto"/>
                <w:sz w:val="24"/>
                <w:szCs w:val="24"/>
                <w:highlight w:val="none"/>
                <w:u w:val="none"/>
              </w:rPr>
            </w:pPr>
          </w:p>
        </w:tc>
        <w:tc>
          <w:tcPr>
            <w:tcW w:w="0" w:type="auto"/>
            <w:vMerge w:val="continue"/>
            <w:tcBorders>
              <w:top w:val="single" w:color="000000" w:sz="8" w:space="0"/>
              <w:left w:val="single" w:color="000000" w:sz="8" w:space="0"/>
              <w:bottom w:val="single" w:color="000000" w:sz="8" w:space="0"/>
              <w:right w:val="single" w:color="000000" w:sz="8" w:space="0"/>
            </w:tcBorders>
            <w:noWrap/>
            <w:vAlign w:val="center"/>
          </w:tcPr>
          <w:p w14:paraId="55831B07">
            <w:pPr>
              <w:jc w:val="center"/>
              <w:rPr>
                <w:rFonts w:hint="eastAsia" w:ascii="宋体" w:hAnsi="宋体" w:eastAsia="宋体" w:cs="宋体"/>
                <w:i w:val="0"/>
                <w:iCs w:val="0"/>
                <w:color w:val="auto"/>
                <w:sz w:val="24"/>
                <w:szCs w:val="24"/>
                <w:highlight w:val="none"/>
                <w:u w:val="none"/>
              </w:rPr>
            </w:pPr>
          </w:p>
        </w:tc>
      </w:tr>
      <w:tr w14:paraId="36975E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0" w:type="auto"/>
            <w:tcBorders>
              <w:top w:val="nil"/>
              <w:left w:val="single" w:color="000000" w:sz="8" w:space="0"/>
              <w:bottom w:val="single" w:color="000000" w:sz="8" w:space="0"/>
              <w:right w:val="single" w:color="000000" w:sz="8" w:space="0"/>
            </w:tcBorders>
            <w:noWrap/>
            <w:vAlign w:val="center"/>
          </w:tcPr>
          <w:p w14:paraId="1256E44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w:t>
            </w:r>
          </w:p>
        </w:tc>
        <w:tc>
          <w:tcPr>
            <w:tcW w:w="1944" w:type="dxa"/>
            <w:tcBorders>
              <w:top w:val="nil"/>
              <w:left w:val="nil"/>
              <w:bottom w:val="single" w:color="000000" w:sz="8" w:space="0"/>
              <w:right w:val="single" w:color="000000" w:sz="8" w:space="0"/>
            </w:tcBorders>
            <w:noWrap w:val="0"/>
            <w:vAlign w:val="center"/>
          </w:tcPr>
          <w:p w14:paraId="7EB2FE0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原政务服务终端维保及升级服务</w:t>
            </w:r>
          </w:p>
        </w:tc>
        <w:tc>
          <w:tcPr>
            <w:tcW w:w="19751" w:type="dxa"/>
            <w:tcBorders>
              <w:top w:val="single" w:color="000000" w:sz="8" w:space="0"/>
              <w:left w:val="single" w:color="000000" w:sz="8" w:space="0"/>
              <w:bottom w:val="single" w:color="000000" w:sz="8" w:space="0"/>
              <w:right w:val="single" w:color="000000" w:sz="8" w:space="0"/>
            </w:tcBorders>
            <w:noWrap w:val="0"/>
            <w:vAlign w:val="center"/>
          </w:tcPr>
          <w:p w14:paraId="25387D2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原政务服务自助终端维保服务，以及采购终端软件同上，并实现与省政务服务平台、市政务服务平台、周到办实现无缝对接。</w:t>
            </w:r>
          </w:p>
        </w:tc>
        <w:tc>
          <w:tcPr>
            <w:tcW w:w="0" w:type="auto"/>
            <w:tcBorders>
              <w:top w:val="nil"/>
              <w:left w:val="nil"/>
              <w:bottom w:val="single" w:color="000000" w:sz="8" w:space="0"/>
              <w:right w:val="single" w:color="000000" w:sz="8" w:space="0"/>
            </w:tcBorders>
            <w:noWrap/>
            <w:vAlign w:val="center"/>
          </w:tcPr>
          <w:p w14:paraId="687A803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0" w:type="auto"/>
            <w:tcBorders>
              <w:top w:val="nil"/>
              <w:left w:val="nil"/>
              <w:bottom w:val="single" w:color="000000" w:sz="8" w:space="0"/>
              <w:right w:val="single" w:color="000000" w:sz="8" w:space="0"/>
            </w:tcBorders>
            <w:noWrap/>
            <w:vAlign w:val="center"/>
          </w:tcPr>
          <w:p w14:paraId="5937820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w:t>
            </w:r>
          </w:p>
        </w:tc>
        <w:tc>
          <w:tcPr>
            <w:tcW w:w="0" w:type="auto"/>
            <w:tcBorders>
              <w:top w:val="nil"/>
              <w:left w:val="nil"/>
              <w:bottom w:val="single" w:color="000000" w:sz="8" w:space="0"/>
              <w:right w:val="single" w:color="000000" w:sz="8" w:space="0"/>
            </w:tcBorders>
            <w:noWrap/>
            <w:vAlign w:val="center"/>
          </w:tcPr>
          <w:p w14:paraId="44B6FDCA">
            <w:pPr>
              <w:jc w:val="right"/>
              <w:rPr>
                <w:rFonts w:hint="eastAsia" w:ascii="宋体" w:hAnsi="宋体" w:eastAsia="宋体" w:cs="宋体"/>
                <w:i w:val="0"/>
                <w:iCs w:val="0"/>
                <w:color w:val="auto"/>
                <w:sz w:val="24"/>
                <w:szCs w:val="24"/>
                <w:highlight w:val="none"/>
                <w:u w:val="none"/>
              </w:rPr>
            </w:pPr>
          </w:p>
        </w:tc>
        <w:tc>
          <w:tcPr>
            <w:tcW w:w="0" w:type="auto"/>
            <w:tcBorders>
              <w:top w:val="nil"/>
              <w:left w:val="nil"/>
              <w:bottom w:val="single" w:color="000000" w:sz="8" w:space="0"/>
              <w:right w:val="single" w:color="000000" w:sz="8" w:space="0"/>
            </w:tcBorders>
            <w:noWrap/>
            <w:vAlign w:val="center"/>
          </w:tcPr>
          <w:p w14:paraId="5914C44A">
            <w:pPr>
              <w:jc w:val="right"/>
              <w:rPr>
                <w:rFonts w:hint="eastAsia" w:ascii="宋体" w:hAnsi="宋体" w:eastAsia="宋体" w:cs="宋体"/>
                <w:i w:val="0"/>
                <w:iCs w:val="0"/>
                <w:color w:val="auto"/>
                <w:sz w:val="24"/>
                <w:szCs w:val="24"/>
                <w:highlight w:val="none"/>
                <w:u w:val="none"/>
              </w:rPr>
            </w:pPr>
          </w:p>
        </w:tc>
        <w:tc>
          <w:tcPr>
            <w:tcW w:w="3638" w:type="dxa"/>
            <w:tcBorders>
              <w:top w:val="nil"/>
              <w:left w:val="nil"/>
              <w:bottom w:val="single" w:color="000000" w:sz="8" w:space="0"/>
              <w:right w:val="single" w:color="000000" w:sz="8" w:space="0"/>
            </w:tcBorders>
            <w:noWrap w:val="0"/>
            <w:vAlign w:val="center"/>
          </w:tcPr>
          <w:p w14:paraId="56AC572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硬件、软件维护及对接服务</w:t>
            </w:r>
          </w:p>
        </w:tc>
      </w:tr>
      <w:tr w14:paraId="01C11F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tcBorders>
              <w:top w:val="nil"/>
              <w:left w:val="single" w:color="000000" w:sz="8" w:space="0"/>
              <w:bottom w:val="single" w:color="000000" w:sz="8" w:space="0"/>
              <w:right w:val="single" w:color="000000" w:sz="8" w:space="0"/>
            </w:tcBorders>
            <w:noWrap/>
            <w:vAlign w:val="center"/>
          </w:tcPr>
          <w:p w14:paraId="68E4175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w:t>
            </w:r>
          </w:p>
        </w:tc>
        <w:tc>
          <w:tcPr>
            <w:tcW w:w="1944" w:type="dxa"/>
            <w:tcBorders>
              <w:top w:val="nil"/>
              <w:left w:val="nil"/>
              <w:bottom w:val="single" w:color="000000" w:sz="8" w:space="0"/>
              <w:right w:val="single" w:color="000000" w:sz="8" w:space="0"/>
            </w:tcBorders>
            <w:noWrap w:val="0"/>
            <w:vAlign w:val="center"/>
          </w:tcPr>
          <w:p w14:paraId="1294D96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无线接收模块</w:t>
            </w:r>
          </w:p>
        </w:tc>
        <w:tc>
          <w:tcPr>
            <w:tcW w:w="19751" w:type="dxa"/>
            <w:tcBorders>
              <w:top w:val="single" w:color="000000" w:sz="8" w:space="0"/>
              <w:left w:val="single" w:color="000000" w:sz="8" w:space="0"/>
              <w:bottom w:val="single" w:color="000000" w:sz="8" w:space="0"/>
              <w:right w:val="single" w:color="000000" w:sz="8" w:space="0"/>
            </w:tcBorders>
            <w:noWrap w:val="0"/>
            <w:vAlign w:val="center"/>
          </w:tcPr>
          <w:p w14:paraId="7957B373">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与控制卡配套使用。ISM频段433MHz，符合国家无委标准，FCC和CE的标准。支持多信道，支持多波特率。</w:t>
            </w:r>
          </w:p>
        </w:tc>
        <w:tc>
          <w:tcPr>
            <w:tcW w:w="0" w:type="auto"/>
            <w:tcBorders>
              <w:top w:val="nil"/>
              <w:left w:val="nil"/>
              <w:bottom w:val="single" w:color="000000" w:sz="8" w:space="0"/>
              <w:right w:val="single" w:color="000000" w:sz="8" w:space="0"/>
            </w:tcBorders>
            <w:noWrap/>
            <w:vAlign w:val="center"/>
          </w:tcPr>
          <w:p w14:paraId="56B7C31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0" w:type="auto"/>
            <w:tcBorders>
              <w:top w:val="nil"/>
              <w:left w:val="nil"/>
              <w:bottom w:val="single" w:color="000000" w:sz="8" w:space="0"/>
              <w:right w:val="single" w:color="000000" w:sz="8" w:space="0"/>
            </w:tcBorders>
            <w:noWrap/>
            <w:vAlign w:val="center"/>
          </w:tcPr>
          <w:p w14:paraId="052BF51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162</w:t>
            </w:r>
          </w:p>
        </w:tc>
        <w:tc>
          <w:tcPr>
            <w:tcW w:w="0" w:type="auto"/>
            <w:tcBorders>
              <w:top w:val="nil"/>
              <w:left w:val="nil"/>
              <w:bottom w:val="single" w:color="000000" w:sz="8" w:space="0"/>
              <w:right w:val="single" w:color="000000" w:sz="8" w:space="0"/>
            </w:tcBorders>
            <w:noWrap/>
            <w:vAlign w:val="center"/>
          </w:tcPr>
          <w:p w14:paraId="41BE3799">
            <w:pPr>
              <w:jc w:val="right"/>
              <w:rPr>
                <w:rFonts w:hint="eastAsia" w:ascii="宋体" w:hAnsi="宋体" w:eastAsia="宋体" w:cs="宋体"/>
                <w:i w:val="0"/>
                <w:iCs w:val="0"/>
                <w:color w:val="auto"/>
                <w:sz w:val="24"/>
                <w:szCs w:val="24"/>
                <w:highlight w:val="none"/>
                <w:u w:val="none"/>
              </w:rPr>
            </w:pPr>
          </w:p>
        </w:tc>
        <w:tc>
          <w:tcPr>
            <w:tcW w:w="0" w:type="auto"/>
            <w:tcBorders>
              <w:top w:val="nil"/>
              <w:left w:val="nil"/>
              <w:bottom w:val="single" w:color="000000" w:sz="8" w:space="0"/>
              <w:right w:val="single" w:color="000000" w:sz="8" w:space="0"/>
            </w:tcBorders>
            <w:noWrap/>
            <w:vAlign w:val="center"/>
          </w:tcPr>
          <w:p w14:paraId="602668E3">
            <w:pPr>
              <w:jc w:val="right"/>
              <w:rPr>
                <w:rFonts w:hint="eastAsia" w:ascii="宋体" w:hAnsi="宋体" w:eastAsia="宋体" w:cs="宋体"/>
                <w:i w:val="0"/>
                <w:iCs w:val="0"/>
                <w:color w:val="auto"/>
                <w:sz w:val="24"/>
                <w:szCs w:val="24"/>
                <w:highlight w:val="none"/>
                <w:u w:val="none"/>
              </w:rPr>
            </w:pPr>
          </w:p>
        </w:tc>
        <w:tc>
          <w:tcPr>
            <w:tcW w:w="0" w:type="auto"/>
            <w:tcBorders>
              <w:top w:val="nil"/>
              <w:left w:val="nil"/>
              <w:bottom w:val="single" w:color="000000" w:sz="8" w:space="0"/>
              <w:right w:val="single" w:color="000000" w:sz="8" w:space="0"/>
            </w:tcBorders>
            <w:noWrap/>
            <w:vAlign w:val="center"/>
          </w:tcPr>
          <w:p w14:paraId="6768941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硬件含对接服务</w:t>
            </w:r>
          </w:p>
        </w:tc>
      </w:tr>
      <w:tr w14:paraId="347D1E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820" w:hRule="atLeast"/>
        </w:trPr>
        <w:tc>
          <w:tcPr>
            <w:tcW w:w="0" w:type="auto"/>
            <w:tcBorders>
              <w:top w:val="nil"/>
              <w:left w:val="single" w:color="000000" w:sz="8" w:space="0"/>
              <w:bottom w:val="single" w:color="000000" w:sz="8" w:space="0"/>
              <w:right w:val="single" w:color="000000" w:sz="8" w:space="0"/>
            </w:tcBorders>
            <w:noWrap/>
            <w:vAlign w:val="center"/>
          </w:tcPr>
          <w:p w14:paraId="08655B1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w:t>
            </w:r>
          </w:p>
        </w:tc>
        <w:tc>
          <w:tcPr>
            <w:tcW w:w="1944" w:type="dxa"/>
            <w:tcBorders>
              <w:top w:val="single" w:color="000000" w:sz="8" w:space="0"/>
              <w:left w:val="single" w:color="000000" w:sz="8" w:space="0"/>
              <w:bottom w:val="single" w:color="000000" w:sz="8" w:space="0"/>
              <w:right w:val="single" w:color="000000" w:sz="8" w:space="0"/>
            </w:tcBorders>
            <w:noWrap w:val="0"/>
            <w:vAlign w:val="center"/>
          </w:tcPr>
          <w:p w14:paraId="685C83D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LED控制卡</w:t>
            </w:r>
          </w:p>
        </w:tc>
        <w:tc>
          <w:tcPr>
            <w:tcW w:w="19751" w:type="dxa"/>
            <w:tcBorders>
              <w:top w:val="single" w:color="000000" w:sz="8" w:space="0"/>
              <w:left w:val="single" w:color="000000" w:sz="8" w:space="0"/>
              <w:bottom w:val="single" w:color="000000" w:sz="8" w:space="0"/>
              <w:right w:val="single" w:color="000000" w:sz="8" w:space="0"/>
            </w:tcBorders>
            <w:noWrap w:val="0"/>
            <w:vAlign w:val="center"/>
          </w:tcPr>
          <w:p w14:paraId="7FC732A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1、与无线接收模块配套使用。控制点数：256*512，128*1024，2048*64</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①集群控制：一台电脑控制多个显示屏。</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②智能扫描：方便兼容各种复杂模组。</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③分角色审核发布：可根据用户角色权限，实现编辑内容和审核内容分开控制，内容更安全。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④在线状态实时监测：通过软件登陆账户，或者登陆web端实时查看状态。</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⑤网络、串口、U盘三通讯：可通过网口、串口和U盘传输字幕数据。</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2、操作系统:支持Win7、Win8和Win10。</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3、节目编辑:支持65536个节目，每个节目支持16个自由分区。</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4、播放类型:支持多节目顺序播放/定时播放/定长播放/分时段播放/锁定单节目播放。</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5、适配范围:支持各种规格单双色。</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6、区域类型:图文/字幕/时间。</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7、通讯方式:网口，支持群发。串口RS232、U盘</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8、工作电压:+4.5V~6V</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最大功耗:&lt;1W</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 xml:space="preserve">9、工作温度:-30°C~70°C </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10、串口测试功能：可检测计算机串口好坏,方便实用</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11、智能回读功能:智能串口搜索和参数回读</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12、支持自定义窗口名称</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13、支持自定义默认显示内容</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14、支持自定义叫号内容</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15、支持优盘或无线模块更新数据</w:t>
            </w:r>
            <w:r>
              <w:rPr>
                <w:rFonts w:hint="eastAsia" w:ascii="宋体" w:hAnsi="宋体" w:eastAsia="宋体" w:cs="宋体"/>
                <w:i w:val="0"/>
                <w:iCs w:val="0"/>
                <w:color w:val="auto"/>
                <w:kern w:val="0"/>
                <w:sz w:val="24"/>
                <w:szCs w:val="24"/>
                <w:highlight w:val="none"/>
                <w:u w:val="none"/>
                <w:lang w:val="en-US" w:eastAsia="zh-CN" w:bidi="ar"/>
              </w:rPr>
              <w:br w:type="textWrapping"/>
            </w:r>
            <w:r>
              <w:rPr>
                <w:rFonts w:hint="eastAsia" w:ascii="宋体" w:hAnsi="宋体" w:eastAsia="宋体" w:cs="宋体"/>
                <w:i w:val="0"/>
                <w:iCs w:val="0"/>
                <w:color w:val="auto"/>
                <w:kern w:val="0"/>
                <w:sz w:val="24"/>
                <w:szCs w:val="24"/>
                <w:highlight w:val="none"/>
                <w:u w:val="none"/>
                <w:lang w:val="en-US" w:eastAsia="zh-CN" w:bidi="ar"/>
              </w:rPr>
              <w:t>支持与与市政务服务平台、周到办实现无缝对接。</w:t>
            </w:r>
          </w:p>
        </w:tc>
        <w:tc>
          <w:tcPr>
            <w:tcW w:w="0" w:type="auto"/>
            <w:tcBorders>
              <w:top w:val="single" w:color="000000" w:sz="8" w:space="0"/>
              <w:left w:val="nil"/>
              <w:bottom w:val="single" w:color="000000" w:sz="8" w:space="0"/>
              <w:right w:val="single" w:color="000000" w:sz="8" w:space="0"/>
            </w:tcBorders>
            <w:noWrap/>
            <w:vAlign w:val="center"/>
          </w:tcPr>
          <w:p w14:paraId="114D15A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w:t>
            </w:r>
          </w:p>
        </w:tc>
        <w:tc>
          <w:tcPr>
            <w:tcW w:w="0" w:type="auto"/>
            <w:tcBorders>
              <w:top w:val="single" w:color="000000" w:sz="8" w:space="0"/>
              <w:left w:val="nil"/>
              <w:bottom w:val="single" w:color="000000" w:sz="8" w:space="0"/>
              <w:right w:val="single" w:color="000000" w:sz="8" w:space="0"/>
            </w:tcBorders>
            <w:noWrap/>
            <w:vAlign w:val="center"/>
          </w:tcPr>
          <w:p w14:paraId="1D87450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162</w:t>
            </w:r>
          </w:p>
        </w:tc>
        <w:tc>
          <w:tcPr>
            <w:tcW w:w="0" w:type="auto"/>
            <w:tcBorders>
              <w:top w:val="single" w:color="000000" w:sz="8" w:space="0"/>
              <w:left w:val="nil"/>
              <w:bottom w:val="single" w:color="000000" w:sz="8" w:space="0"/>
              <w:right w:val="single" w:color="000000" w:sz="8" w:space="0"/>
            </w:tcBorders>
            <w:noWrap/>
            <w:vAlign w:val="center"/>
          </w:tcPr>
          <w:p w14:paraId="3ED3D98F">
            <w:pPr>
              <w:jc w:val="right"/>
              <w:rPr>
                <w:rFonts w:hint="eastAsia" w:ascii="宋体" w:hAnsi="宋体" w:eastAsia="宋体" w:cs="宋体"/>
                <w:i w:val="0"/>
                <w:iCs w:val="0"/>
                <w:color w:val="auto"/>
                <w:sz w:val="24"/>
                <w:szCs w:val="24"/>
                <w:highlight w:val="none"/>
                <w:u w:val="none"/>
              </w:rPr>
            </w:pPr>
          </w:p>
        </w:tc>
        <w:tc>
          <w:tcPr>
            <w:tcW w:w="0" w:type="auto"/>
            <w:tcBorders>
              <w:top w:val="nil"/>
              <w:left w:val="nil"/>
              <w:bottom w:val="single" w:color="000000" w:sz="8" w:space="0"/>
              <w:right w:val="single" w:color="000000" w:sz="8" w:space="0"/>
            </w:tcBorders>
            <w:noWrap/>
            <w:vAlign w:val="center"/>
          </w:tcPr>
          <w:p w14:paraId="0047BD85">
            <w:pPr>
              <w:jc w:val="right"/>
              <w:rPr>
                <w:rFonts w:hint="eastAsia" w:ascii="宋体" w:hAnsi="宋体" w:eastAsia="宋体" w:cs="宋体"/>
                <w:i w:val="0"/>
                <w:iCs w:val="0"/>
                <w:color w:val="auto"/>
                <w:sz w:val="24"/>
                <w:szCs w:val="24"/>
                <w:highlight w:val="none"/>
                <w:u w:val="none"/>
              </w:rPr>
            </w:pPr>
          </w:p>
        </w:tc>
        <w:tc>
          <w:tcPr>
            <w:tcW w:w="0" w:type="auto"/>
            <w:tcBorders>
              <w:top w:val="nil"/>
              <w:left w:val="nil"/>
              <w:bottom w:val="single" w:color="000000" w:sz="8" w:space="0"/>
              <w:right w:val="single" w:color="000000" w:sz="8" w:space="0"/>
            </w:tcBorders>
            <w:noWrap/>
            <w:vAlign w:val="center"/>
          </w:tcPr>
          <w:p w14:paraId="4BFD308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硬件、软件及对接服务</w:t>
            </w:r>
          </w:p>
        </w:tc>
      </w:tr>
      <w:tr w14:paraId="3C01D9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00" w:hRule="atLeast"/>
        </w:trPr>
        <w:tc>
          <w:tcPr>
            <w:tcW w:w="0" w:type="auto"/>
            <w:tcBorders>
              <w:top w:val="nil"/>
              <w:left w:val="single" w:color="000000" w:sz="8" w:space="0"/>
              <w:bottom w:val="single" w:color="000000" w:sz="8" w:space="0"/>
              <w:right w:val="single" w:color="000000" w:sz="8" w:space="0"/>
            </w:tcBorders>
            <w:noWrap/>
            <w:vAlign w:val="center"/>
          </w:tcPr>
          <w:p w14:paraId="52533A5E">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8</w:t>
            </w:r>
          </w:p>
        </w:tc>
        <w:tc>
          <w:tcPr>
            <w:tcW w:w="23669" w:type="dxa"/>
            <w:gridSpan w:val="4"/>
            <w:tcBorders>
              <w:top w:val="nil"/>
              <w:left w:val="single" w:color="000000" w:sz="8" w:space="0"/>
              <w:bottom w:val="single" w:color="000000" w:sz="8" w:space="0"/>
              <w:right w:val="nil"/>
            </w:tcBorders>
            <w:noWrap w:val="0"/>
            <w:vAlign w:val="center"/>
          </w:tcPr>
          <w:p w14:paraId="2BA5F879">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合计：</w:t>
            </w:r>
          </w:p>
        </w:tc>
        <w:tc>
          <w:tcPr>
            <w:tcW w:w="0" w:type="auto"/>
            <w:tcBorders>
              <w:top w:val="nil"/>
              <w:left w:val="nil"/>
              <w:bottom w:val="single" w:color="000000" w:sz="8" w:space="0"/>
              <w:right w:val="single" w:color="000000" w:sz="8" w:space="0"/>
            </w:tcBorders>
            <w:noWrap/>
            <w:vAlign w:val="center"/>
          </w:tcPr>
          <w:p w14:paraId="221BF835">
            <w:pPr>
              <w:jc w:val="right"/>
              <w:rPr>
                <w:rFonts w:hint="eastAsia" w:ascii="宋体" w:hAnsi="宋体" w:eastAsia="宋体" w:cs="宋体"/>
                <w:b/>
                <w:bCs/>
                <w:i w:val="0"/>
                <w:iCs w:val="0"/>
                <w:color w:val="auto"/>
                <w:sz w:val="24"/>
                <w:szCs w:val="24"/>
                <w:highlight w:val="none"/>
                <w:u w:val="none"/>
              </w:rPr>
            </w:pPr>
          </w:p>
        </w:tc>
        <w:tc>
          <w:tcPr>
            <w:tcW w:w="0" w:type="auto"/>
            <w:tcBorders>
              <w:top w:val="nil"/>
              <w:left w:val="nil"/>
              <w:bottom w:val="single" w:color="000000" w:sz="8" w:space="0"/>
              <w:right w:val="single" w:color="000000" w:sz="8" w:space="0"/>
            </w:tcBorders>
            <w:noWrap/>
            <w:vAlign w:val="center"/>
          </w:tcPr>
          <w:p w14:paraId="56BDFDC9">
            <w:pPr>
              <w:jc w:val="right"/>
              <w:rPr>
                <w:rFonts w:hint="eastAsia" w:ascii="宋体" w:hAnsi="宋体" w:eastAsia="宋体" w:cs="宋体"/>
                <w:b/>
                <w:bCs/>
                <w:i w:val="0"/>
                <w:iCs w:val="0"/>
                <w:color w:val="auto"/>
                <w:sz w:val="24"/>
                <w:szCs w:val="24"/>
                <w:highlight w:val="none"/>
                <w:u w:val="none"/>
              </w:rPr>
            </w:pPr>
          </w:p>
        </w:tc>
        <w:tc>
          <w:tcPr>
            <w:tcW w:w="0" w:type="auto"/>
            <w:tcBorders>
              <w:top w:val="nil"/>
              <w:left w:val="nil"/>
              <w:bottom w:val="single" w:color="000000" w:sz="8" w:space="0"/>
              <w:right w:val="single" w:color="000000" w:sz="8" w:space="0"/>
            </w:tcBorders>
            <w:noWrap/>
            <w:vAlign w:val="center"/>
          </w:tcPr>
          <w:p w14:paraId="6487103B">
            <w:pPr>
              <w:rPr>
                <w:rFonts w:hint="eastAsia" w:ascii="宋体" w:hAnsi="宋体" w:eastAsia="宋体" w:cs="宋体"/>
                <w:b/>
                <w:bCs/>
                <w:i w:val="0"/>
                <w:iCs w:val="0"/>
                <w:color w:val="auto"/>
                <w:sz w:val="24"/>
                <w:szCs w:val="24"/>
                <w:highlight w:val="none"/>
                <w:u w:val="none"/>
              </w:rPr>
            </w:pPr>
          </w:p>
        </w:tc>
      </w:tr>
    </w:tbl>
    <w:p w14:paraId="5DC8C079">
      <w:pPr>
        <w:pBdr>
          <w:bottom w:val="dotted" w:color="auto" w:sz="24" w:space="1"/>
        </w:pBdr>
        <w:spacing w:line="360" w:lineRule="auto"/>
        <w:jc w:val="left"/>
        <w:rPr>
          <w:rFonts w:hint="eastAsia" w:ascii="宋体" w:hAnsi="宋体" w:eastAsia="宋体" w:cs="宋体"/>
          <w:b/>
          <w:bCs/>
          <w:i w:val="0"/>
          <w:iCs w:val="0"/>
          <w:color w:val="auto"/>
          <w:kern w:val="0"/>
          <w:sz w:val="40"/>
          <w:szCs w:val="40"/>
          <w:highlight w:val="none"/>
          <w:u w:val="none"/>
          <w:lang w:val="en-US" w:eastAsia="zh-CN" w:bidi="ar"/>
        </w:rPr>
      </w:pPr>
      <w:r>
        <w:rPr>
          <w:rFonts w:hint="eastAsia" w:ascii="宋体" w:hAnsi="宋体" w:eastAsia="宋体" w:cs="宋体"/>
          <w:b/>
          <w:bCs/>
          <w:i w:val="0"/>
          <w:iCs w:val="0"/>
          <w:color w:val="auto"/>
          <w:kern w:val="0"/>
          <w:sz w:val="40"/>
          <w:szCs w:val="40"/>
          <w:highlight w:val="none"/>
          <w:u w:val="none"/>
          <w:lang w:val="en-US" w:eastAsia="zh-CN" w:bidi="ar"/>
        </w:rPr>
        <w:br w:type="page"/>
      </w:r>
    </w:p>
    <w:tbl>
      <w:tblPr>
        <w:tblStyle w:val="23"/>
        <w:tblW w:w="30640"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750"/>
        <w:gridCol w:w="1995"/>
        <w:gridCol w:w="1721"/>
        <w:gridCol w:w="3185"/>
        <w:gridCol w:w="4156"/>
        <w:gridCol w:w="11040"/>
        <w:gridCol w:w="1171"/>
        <w:gridCol w:w="2544"/>
        <w:gridCol w:w="4078"/>
      </w:tblGrid>
      <w:tr w14:paraId="3983F5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30640" w:type="dxa"/>
            <w:gridSpan w:val="9"/>
            <w:tcBorders>
              <w:top w:val="single" w:color="000000" w:sz="8" w:space="0"/>
              <w:left w:val="single" w:color="000000" w:sz="8" w:space="0"/>
              <w:bottom w:val="single" w:color="000000" w:sz="8" w:space="0"/>
              <w:right w:val="single" w:color="000000" w:sz="8" w:space="0"/>
            </w:tcBorders>
            <w:noWrap/>
            <w:vAlign w:val="center"/>
          </w:tcPr>
          <w:p w14:paraId="127B1ECA">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56"/>
                <w:szCs w:val="56"/>
                <w:highlight w:val="none"/>
                <w:u w:val="none"/>
                <w:lang w:val="en-US" w:eastAsia="zh-CN" w:bidi="ar"/>
              </w:rPr>
              <w:t>政务服务平台工作量表</w:t>
            </w:r>
          </w:p>
        </w:tc>
      </w:tr>
      <w:tr w14:paraId="18C76F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30640" w:type="dxa"/>
            <w:gridSpan w:val="9"/>
            <w:tcBorders>
              <w:top w:val="single" w:color="000000" w:sz="8" w:space="0"/>
              <w:left w:val="single" w:color="000000" w:sz="8" w:space="0"/>
              <w:bottom w:val="single" w:color="000000" w:sz="8" w:space="0"/>
              <w:right w:val="single" w:color="000000" w:sz="8" w:space="0"/>
            </w:tcBorders>
            <w:noWrap/>
            <w:vAlign w:val="center"/>
          </w:tcPr>
          <w:p w14:paraId="2261005F">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政务服务平台功能清单</w:t>
            </w:r>
          </w:p>
        </w:tc>
      </w:tr>
      <w:tr w14:paraId="4A4DE1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single" w:color="000000" w:sz="8" w:space="0"/>
              <w:left w:val="single" w:color="000000" w:sz="8" w:space="0"/>
              <w:bottom w:val="single" w:color="000000" w:sz="8" w:space="0"/>
              <w:right w:val="single" w:color="000000" w:sz="8" w:space="0"/>
            </w:tcBorders>
            <w:noWrap w:val="0"/>
            <w:vAlign w:val="center"/>
          </w:tcPr>
          <w:p w14:paraId="6F5A197E">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1995" w:type="dxa"/>
            <w:tcBorders>
              <w:top w:val="single" w:color="000000" w:sz="8" w:space="0"/>
              <w:left w:val="nil"/>
              <w:bottom w:val="single" w:color="000000" w:sz="8" w:space="0"/>
              <w:right w:val="single" w:color="000000" w:sz="8" w:space="0"/>
            </w:tcBorders>
            <w:noWrap w:val="0"/>
            <w:vAlign w:val="center"/>
          </w:tcPr>
          <w:p w14:paraId="5CAFAF51">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系统名称</w:t>
            </w:r>
          </w:p>
        </w:tc>
        <w:tc>
          <w:tcPr>
            <w:tcW w:w="1721" w:type="dxa"/>
            <w:tcBorders>
              <w:top w:val="single" w:color="000000" w:sz="8" w:space="0"/>
              <w:left w:val="nil"/>
              <w:bottom w:val="single" w:color="000000" w:sz="8" w:space="0"/>
              <w:right w:val="single" w:color="000000" w:sz="8" w:space="0"/>
            </w:tcBorders>
            <w:noWrap w:val="0"/>
            <w:vAlign w:val="center"/>
          </w:tcPr>
          <w:p w14:paraId="1C190EAF">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功能点类型</w:t>
            </w:r>
          </w:p>
        </w:tc>
        <w:tc>
          <w:tcPr>
            <w:tcW w:w="3185" w:type="dxa"/>
            <w:tcBorders>
              <w:top w:val="single" w:color="000000" w:sz="8" w:space="0"/>
              <w:left w:val="nil"/>
              <w:bottom w:val="single" w:color="000000" w:sz="8" w:space="0"/>
              <w:right w:val="single" w:color="000000" w:sz="8" w:space="0"/>
            </w:tcBorders>
            <w:noWrap w:val="0"/>
            <w:vAlign w:val="center"/>
          </w:tcPr>
          <w:p w14:paraId="10AEA231">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子系统名称</w:t>
            </w:r>
          </w:p>
        </w:tc>
        <w:tc>
          <w:tcPr>
            <w:tcW w:w="4156" w:type="dxa"/>
            <w:tcBorders>
              <w:top w:val="single" w:color="000000" w:sz="8" w:space="0"/>
              <w:left w:val="nil"/>
              <w:bottom w:val="single" w:color="000000" w:sz="8" w:space="0"/>
              <w:right w:val="single" w:color="000000" w:sz="8" w:space="0"/>
            </w:tcBorders>
            <w:noWrap w:val="0"/>
            <w:vAlign w:val="center"/>
          </w:tcPr>
          <w:p w14:paraId="569AF7EA">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功能点名称</w:t>
            </w:r>
          </w:p>
        </w:tc>
        <w:tc>
          <w:tcPr>
            <w:tcW w:w="11040" w:type="dxa"/>
            <w:tcBorders>
              <w:top w:val="single" w:color="000000" w:sz="8" w:space="0"/>
              <w:left w:val="nil"/>
              <w:bottom w:val="single" w:color="000000" w:sz="8" w:space="0"/>
              <w:right w:val="single" w:color="000000" w:sz="8" w:space="0"/>
            </w:tcBorders>
            <w:noWrap w:val="0"/>
            <w:vAlign w:val="center"/>
          </w:tcPr>
          <w:p w14:paraId="2247098C">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功能点描述</w:t>
            </w:r>
          </w:p>
        </w:tc>
        <w:tc>
          <w:tcPr>
            <w:tcW w:w="1171" w:type="dxa"/>
            <w:tcBorders>
              <w:top w:val="single" w:color="000000" w:sz="8" w:space="0"/>
              <w:left w:val="nil"/>
              <w:bottom w:val="single" w:color="000000" w:sz="8" w:space="0"/>
              <w:right w:val="single" w:color="000000" w:sz="8" w:space="0"/>
            </w:tcBorders>
            <w:noWrap w:val="0"/>
            <w:vAlign w:val="center"/>
          </w:tcPr>
          <w:p w14:paraId="73242B2A">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单位</w:t>
            </w:r>
          </w:p>
        </w:tc>
        <w:tc>
          <w:tcPr>
            <w:tcW w:w="2544" w:type="dxa"/>
            <w:tcBorders>
              <w:top w:val="single" w:color="000000" w:sz="8" w:space="0"/>
              <w:left w:val="single" w:color="000000" w:sz="8" w:space="0"/>
              <w:bottom w:val="single" w:color="000000" w:sz="8" w:space="0"/>
              <w:right w:val="single" w:color="000000" w:sz="8" w:space="0"/>
            </w:tcBorders>
            <w:noWrap w:val="0"/>
            <w:vAlign w:val="center"/>
          </w:tcPr>
          <w:p w14:paraId="2AEFF630">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EIF/ILF数</w:t>
            </w:r>
          </w:p>
        </w:tc>
        <w:tc>
          <w:tcPr>
            <w:tcW w:w="4078" w:type="dxa"/>
            <w:tcBorders>
              <w:top w:val="single" w:color="000000" w:sz="8" w:space="0"/>
              <w:left w:val="single" w:color="000000" w:sz="8" w:space="0"/>
              <w:bottom w:val="single" w:color="000000" w:sz="8" w:space="0"/>
              <w:right w:val="single" w:color="000000" w:sz="8" w:space="0"/>
            </w:tcBorders>
            <w:noWrap w:val="0"/>
            <w:vAlign w:val="center"/>
          </w:tcPr>
          <w:p w14:paraId="3058F407">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备注</w:t>
            </w:r>
          </w:p>
        </w:tc>
      </w:tr>
      <w:tr w14:paraId="371630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5EA77EE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1995" w:type="dxa"/>
            <w:tcBorders>
              <w:top w:val="nil"/>
              <w:left w:val="nil"/>
              <w:bottom w:val="single" w:color="000000" w:sz="8" w:space="0"/>
              <w:right w:val="single" w:color="000000" w:sz="8" w:space="0"/>
            </w:tcBorders>
            <w:noWrap w:val="0"/>
            <w:vAlign w:val="center"/>
          </w:tcPr>
          <w:p w14:paraId="757B9F4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7565019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39508A5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政务能力中心</w:t>
            </w:r>
          </w:p>
        </w:tc>
        <w:tc>
          <w:tcPr>
            <w:tcW w:w="4156" w:type="dxa"/>
            <w:tcBorders>
              <w:top w:val="nil"/>
              <w:left w:val="nil"/>
              <w:bottom w:val="single" w:color="000000" w:sz="8" w:space="0"/>
              <w:right w:val="single" w:color="000000" w:sz="8" w:space="0"/>
            </w:tcBorders>
            <w:noWrap w:val="0"/>
            <w:vAlign w:val="center"/>
          </w:tcPr>
          <w:p w14:paraId="5998159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事项中心</w:t>
            </w:r>
          </w:p>
        </w:tc>
        <w:tc>
          <w:tcPr>
            <w:tcW w:w="11040" w:type="dxa"/>
            <w:tcBorders>
              <w:top w:val="nil"/>
              <w:left w:val="nil"/>
              <w:bottom w:val="single" w:color="000000" w:sz="8" w:space="0"/>
              <w:right w:val="single" w:color="000000" w:sz="8" w:space="0"/>
            </w:tcBorders>
            <w:noWrap w:val="0"/>
            <w:vAlign w:val="center"/>
          </w:tcPr>
          <w:p w14:paraId="69ACE27A">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该事项通过事项标准化、多事项模型、单事项运行配置、服务能力来支撑事项中心。</w:t>
            </w:r>
          </w:p>
        </w:tc>
        <w:tc>
          <w:tcPr>
            <w:tcW w:w="1171" w:type="dxa"/>
            <w:tcBorders>
              <w:top w:val="nil"/>
              <w:left w:val="nil"/>
              <w:bottom w:val="single" w:color="000000" w:sz="8" w:space="0"/>
              <w:right w:val="single" w:color="000000" w:sz="8" w:space="0"/>
            </w:tcBorders>
            <w:noWrap/>
            <w:vAlign w:val="center"/>
          </w:tcPr>
          <w:p w14:paraId="0BFFFD5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3696190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4078" w:type="dxa"/>
            <w:tcBorders>
              <w:top w:val="nil"/>
              <w:left w:val="single" w:color="000000" w:sz="8" w:space="0"/>
              <w:bottom w:val="single" w:color="000000" w:sz="8" w:space="0"/>
              <w:right w:val="single" w:color="000000" w:sz="8" w:space="0"/>
            </w:tcBorders>
            <w:noWrap/>
            <w:vAlign w:val="center"/>
          </w:tcPr>
          <w:p w14:paraId="54D0BD4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56F675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5" w:hRule="atLeast"/>
        </w:trPr>
        <w:tc>
          <w:tcPr>
            <w:tcW w:w="750" w:type="dxa"/>
            <w:tcBorders>
              <w:top w:val="nil"/>
              <w:left w:val="single" w:color="000000" w:sz="8" w:space="0"/>
              <w:bottom w:val="single" w:color="000000" w:sz="8" w:space="0"/>
              <w:right w:val="single" w:color="000000" w:sz="8" w:space="0"/>
            </w:tcBorders>
            <w:noWrap/>
            <w:vAlign w:val="center"/>
          </w:tcPr>
          <w:p w14:paraId="6BC492D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1995" w:type="dxa"/>
            <w:tcBorders>
              <w:top w:val="nil"/>
              <w:left w:val="nil"/>
              <w:bottom w:val="single" w:color="000000" w:sz="8" w:space="0"/>
              <w:right w:val="single" w:color="000000" w:sz="8" w:space="0"/>
            </w:tcBorders>
            <w:noWrap w:val="0"/>
            <w:vAlign w:val="center"/>
          </w:tcPr>
          <w:p w14:paraId="4152BA4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0FEE783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64D5BE4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政务能力中心</w:t>
            </w:r>
          </w:p>
        </w:tc>
        <w:tc>
          <w:tcPr>
            <w:tcW w:w="4156" w:type="dxa"/>
            <w:tcBorders>
              <w:top w:val="nil"/>
              <w:left w:val="nil"/>
              <w:bottom w:val="single" w:color="000000" w:sz="8" w:space="0"/>
              <w:right w:val="single" w:color="000000" w:sz="8" w:space="0"/>
            </w:tcBorders>
            <w:noWrap w:val="0"/>
            <w:vAlign w:val="center"/>
          </w:tcPr>
          <w:p w14:paraId="6769669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申报中心</w:t>
            </w:r>
          </w:p>
        </w:tc>
        <w:tc>
          <w:tcPr>
            <w:tcW w:w="11040" w:type="dxa"/>
            <w:tcBorders>
              <w:top w:val="nil"/>
              <w:left w:val="nil"/>
              <w:bottom w:val="single" w:color="000000" w:sz="8" w:space="0"/>
              <w:right w:val="single" w:color="000000" w:sz="8" w:space="0"/>
            </w:tcBorders>
            <w:noWrap w:val="0"/>
            <w:vAlign w:val="center"/>
          </w:tcPr>
          <w:p w14:paraId="0E19623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包括单个事项申报、并联申报、投资性项目申报、引导申报、智能申报，记录项目整个生命周期的审批环节信息，实现项目审批全生命周期信息的引导、申报、留痕和追溯。</w:t>
            </w:r>
          </w:p>
        </w:tc>
        <w:tc>
          <w:tcPr>
            <w:tcW w:w="1171" w:type="dxa"/>
            <w:tcBorders>
              <w:top w:val="nil"/>
              <w:left w:val="nil"/>
              <w:bottom w:val="single" w:color="000000" w:sz="8" w:space="0"/>
              <w:right w:val="single" w:color="000000" w:sz="8" w:space="0"/>
            </w:tcBorders>
            <w:noWrap/>
            <w:vAlign w:val="center"/>
          </w:tcPr>
          <w:p w14:paraId="446BCC9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4F5238D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4078" w:type="dxa"/>
            <w:tcBorders>
              <w:top w:val="nil"/>
              <w:left w:val="single" w:color="000000" w:sz="8" w:space="0"/>
              <w:bottom w:val="single" w:color="000000" w:sz="8" w:space="0"/>
              <w:right w:val="single" w:color="000000" w:sz="8" w:space="0"/>
            </w:tcBorders>
            <w:noWrap/>
            <w:vAlign w:val="center"/>
          </w:tcPr>
          <w:p w14:paraId="620F223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44D3A67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4" w:hRule="atLeast"/>
        </w:trPr>
        <w:tc>
          <w:tcPr>
            <w:tcW w:w="750" w:type="dxa"/>
            <w:tcBorders>
              <w:top w:val="nil"/>
              <w:left w:val="single" w:color="000000" w:sz="8" w:space="0"/>
              <w:bottom w:val="single" w:color="000000" w:sz="8" w:space="0"/>
              <w:right w:val="single" w:color="000000" w:sz="8" w:space="0"/>
            </w:tcBorders>
            <w:noWrap/>
            <w:vAlign w:val="center"/>
          </w:tcPr>
          <w:p w14:paraId="45CC6DF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1995" w:type="dxa"/>
            <w:tcBorders>
              <w:top w:val="nil"/>
              <w:left w:val="nil"/>
              <w:bottom w:val="single" w:color="000000" w:sz="8" w:space="0"/>
              <w:right w:val="single" w:color="000000" w:sz="8" w:space="0"/>
            </w:tcBorders>
            <w:noWrap w:val="0"/>
            <w:vAlign w:val="center"/>
          </w:tcPr>
          <w:p w14:paraId="13ABC9E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5D9358D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5470D64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政务能力中心</w:t>
            </w:r>
          </w:p>
        </w:tc>
        <w:tc>
          <w:tcPr>
            <w:tcW w:w="4156" w:type="dxa"/>
            <w:tcBorders>
              <w:top w:val="nil"/>
              <w:left w:val="nil"/>
              <w:bottom w:val="single" w:color="000000" w:sz="8" w:space="0"/>
              <w:right w:val="single" w:color="000000" w:sz="8" w:space="0"/>
            </w:tcBorders>
            <w:noWrap w:val="0"/>
            <w:vAlign w:val="center"/>
          </w:tcPr>
          <w:p w14:paraId="5BEC964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审批中心</w:t>
            </w:r>
          </w:p>
        </w:tc>
        <w:tc>
          <w:tcPr>
            <w:tcW w:w="11040" w:type="dxa"/>
            <w:tcBorders>
              <w:top w:val="nil"/>
              <w:left w:val="nil"/>
              <w:bottom w:val="single" w:color="000000" w:sz="8" w:space="0"/>
              <w:right w:val="single" w:color="000000" w:sz="8" w:space="0"/>
            </w:tcBorders>
            <w:noWrap w:val="0"/>
            <w:vAlign w:val="center"/>
          </w:tcPr>
          <w:p w14:paraId="2C632324">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该项服务为用户提供办理事项、办理条件、申请材料、办理时限、办理依据等进行下一步进行申报在线办理农药经营许可证延续、限制使用农药经营许可证初审、河道采砂许可、农药经营许可证申请。</w:t>
            </w:r>
          </w:p>
        </w:tc>
        <w:tc>
          <w:tcPr>
            <w:tcW w:w="1171" w:type="dxa"/>
            <w:tcBorders>
              <w:top w:val="nil"/>
              <w:left w:val="nil"/>
              <w:bottom w:val="single" w:color="000000" w:sz="8" w:space="0"/>
              <w:right w:val="single" w:color="000000" w:sz="8" w:space="0"/>
            </w:tcBorders>
            <w:noWrap/>
            <w:vAlign w:val="center"/>
          </w:tcPr>
          <w:p w14:paraId="3989F85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2B13D24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4078" w:type="dxa"/>
            <w:tcBorders>
              <w:top w:val="nil"/>
              <w:left w:val="single" w:color="000000" w:sz="8" w:space="0"/>
              <w:bottom w:val="single" w:color="000000" w:sz="8" w:space="0"/>
              <w:right w:val="single" w:color="000000" w:sz="8" w:space="0"/>
            </w:tcBorders>
            <w:noWrap/>
            <w:vAlign w:val="center"/>
          </w:tcPr>
          <w:p w14:paraId="7A2F587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5AAC52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539" w:hRule="atLeast"/>
        </w:trPr>
        <w:tc>
          <w:tcPr>
            <w:tcW w:w="750" w:type="dxa"/>
            <w:tcBorders>
              <w:top w:val="nil"/>
              <w:left w:val="single" w:color="000000" w:sz="8" w:space="0"/>
              <w:bottom w:val="single" w:color="000000" w:sz="8" w:space="0"/>
              <w:right w:val="single" w:color="000000" w:sz="8" w:space="0"/>
            </w:tcBorders>
            <w:noWrap/>
            <w:vAlign w:val="center"/>
          </w:tcPr>
          <w:p w14:paraId="63DB980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1995" w:type="dxa"/>
            <w:tcBorders>
              <w:top w:val="nil"/>
              <w:left w:val="nil"/>
              <w:bottom w:val="single" w:color="000000" w:sz="8" w:space="0"/>
              <w:right w:val="single" w:color="000000" w:sz="8" w:space="0"/>
            </w:tcBorders>
            <w:noWrap w:val="0"/>
            <w:vAlign w:val="center"/>
          </w:tcPr>
          <w:p w14:paraId="5F49EA6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265A62B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1BCBCDF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政务能力中心</w:t>
            </w:r>
          </w:p>
        </w:tc>
        <w:tc>
          <w:tcPr>
            <w:tcW w:w="4156" w:type="dxa"/>
            <w:tcBorders>
              <w:top w:val="nil"/>
              <w:left w:val="nil"/>
              <w:bottom w:val="single" w:color="000000" w:sz="8" w:space="0"/>
              <w:right w:val="single" w:color="000000" w:sz="8" w:space="0"/>
            </w:tcBorders>
            <w:noWrap w:val="0"/>
            <w:vAlign w:val="center"/>
          </w:tcPr>
          <w:p w14:paraId="43397B2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办件中心</w:t>
            </w:r>
          </w:p>
        </w:tc>
        <w:tc>
          <w:tcPr>
            <w:tcW w:w="11040" w:type="dxa"/>
            <w:tcBorders>
              <w:top w:val="nil"/>
              <w:left w:val="nil"/>
              <w:bottom w:val="single" w:color="000000" w:sz="8" w:space="0"/>
              <w:right w:val="single" w:color="000000" w:sz="8" w:space="0"/>
            </w:tcBorders>
            <w:noWrap w:val="0"/>
            <w:vAlign w:val="center"/>
          </w:tcPr>
          <w:p w14:paraId="5DBB0D7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面向所有审批业务提供单个事项和并联事项的审批服务，实现审批业务的智能联动，同时满足工程建设、不动产登记、智能审批等主题审批业务的个性化需求，为政务服务审批业务提供统一的服务输出，实现受理、补件、特殊程序、办结、归档等全过程的业务办理业务。</w:t>
            </w:r>
          </w:p>
        </w:tc>
        <w:tc>
          <w:tcPr>
            <w:tcW w:w="1171" w:type="dxa"/>
            <w:tcBorders>
              <w:top w:val="nil"/>
              <w:left w:val="nil"/>
              <w:bottom w:val="single" w:color="000000" w:sz="8" w:space="0"/>
              <w:right w:val="single" w:color="000000" w:sz="8" w:space="0"/>
            </w:tcBorders>
            <w:noWrap/>
            <w:vAlign w:val="center"/>
          </w:tcPr>
          <w:p w14:paraId="683D336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23AAA44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4078" w:type="dxa"/>
            <w:tcBorders>
              <w:top w:val="nil"/>
              <w:left w:val="single" w:color="000000" w:sz="8" w:space="0"/>
              <w:bottom w:val="single" w:color="000000" w:sz="8" w:space="0"/>
              <w:right w:val="single" w:color="000000" w:sz="8" w:space="0"/>
            </w:tcBorders>
            <w:noWrap/>
            <w:vAlign w:val="center"/>
          </w:tcPr>
          <w:p w14:paraId="069D9FC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5B9708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21" w:hRule="atLeast"/>
        </w:trPr>
        <w:tc>
          <w:tcPr>
            <w:tcW w:w="750" w:type="dxa"/>
            <w:tcBorders>
              <w:top w:val="nil"/>
              <w:left w:val="single" w:color="000000" w:sz="8" w:space="0"/>
              <w:bottom w:val="single" w:color="000000" w:sz="8" w:space="0"/>
              <w:right w:val="single" w:color="000000" w:sz="8" w:space="0"/>
            </w:tcBorders>
            <w:noWrap/>
            <w:vAlign w:val="center"/>
          </w:tcPr>
          <w:p w14:paraId="7AB2576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w:t>
            </w:r>
          </w:p>
        </w:tc>
        <w:tc>
          <w:tcPr>
            <w:tcW w:w="1995" w:type="dxa"/>
            <w:tcBorders>
              <w:top w:val="nil"/>
              <w:left w:val="nil"/>
              <w:bottom w:val="single" w:color="000000" w:sz="8" w:space="0"/>
              <w:right w:val="single" w:color="000000" w:sz="8" w:space="0"/>
            </w:tcBorders>
            <w:noWrap w:val="0"/>
            <w:vAlign w:val="center"/>
          </w:tcPr>
          <w:p w14:paraId="788E4CD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31D5963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376B4ED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政务能力中心</w:t>
            </w:r>
          </w:p>
        </w:tc>
        <w:tc>
          <w:tcPr>
            <w:tcW w:w="4156" w:type="dxa"/>
            <w:tcBorders>
              <w:top w:val="nil"/>
              <w:left w:val="nil"/>
              <w:bottom w:val="single" w:color="000000" w:sz="8" w:space="0"/>
              <w:right w:val="single" w:color="000000" w:sz="8" w:space="0"/>
            </w:tcBorders>
            <w:noWrap w:val="0"/>
            <w:vAlign w:val="center"/>
          </w:tcPr>
          <w:p w14:paraId="7E0728D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流程中心</w:t>
            </w:r>
          </w:p>
        </w:tc>
        <w:tc>
          <w:tcPr>
            <w:tcW w:w="11040" w:type="dxa"/>
            <w:tcBorders>
              <w:top w:val="nil"/>
              <w:left w:val="nil"/>
              <w:bottom w:val="single" w:color="000000" w:sz="8" w:space="0"/>
              <w:right w:val="single" w:color="000000" w:sz="8" w:space="0"/>
            </w:tcBorders>
            <w:noWrap w:val="0"/>
            <w:vAlign w:val="center"/>
          </w:tcPr>
          <w:p w14:paraId="3BE1DCD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流程中心作为政务能力中心的一个核心组件，主要为政府服务一体提供流程相关的解决方案。本次流程中心研发重点在于构建业务协同流程的服务能力、提升流程监控能力，对流程引擎的性能升级优化，为政务服务一体化提供流程梳理、流程设计、流程执行、流程管理、流程监控、流程优化的流程全生命周期服务，形成流程全闭环。</w:t>
            </w:r>
          </w:p>
        </w:tc>
        <w:tc>
          <w:tcPr>
            <w:tcW w:w="1171" w:type="dxa"/>
            <w:tcBorders>
              <w:top w:val="nil"/>
              <w:left w:val="nil"/>
              <w:bottom w:val="single" w:color="000000" w:sz="8" w:space="0"/>
              <w:right w:val="single" w:color="000000" w:sz="8" w:space="0"/>
            </w:tcBorders>
            <w:noWrap/>
            <w:vAlign w:val="center"/>
          </w:tcPr>
          <w:p w14:paraId="333376D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6F4505F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4078" w:type="dxa"/>
            <w:tcBorders>
              <w:top w:val="nil"/>
              <w:left w:val="single" w:color="000000" w:sz="8" w:space="0"/>
              <w:bottom w:val="single" w:color="000000" w:sz="8" w:space="0"/>
              <w:right w:val="single" w:color="000000" w:sz="8" w:space="0"/>
            </w:tcBorders>
            <w:noWrap/>
            <w:vAlign w:val="center"/>
          </w:tcPr>
          <w:p w14:paraId="2712510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5094C62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37" w:hRule="atLeast"/>
        </w:trPr>
        <w:tc>
          <w:tcPr>
            <w:tcW w:w="750" w:type="dxa"/>
            <w:tcBorders>
              <w:top w:val="nil"/>
              <w:left w:val="single" w:color="000000" w:sz="8" w:space="0"/>
              <w:bottom w:val="single" w:color="000000" w:sz="8" w:space="0"/>
              <w:right w:val="single" w:color="000000" w:sz="8" w:space="0"/>
            </w:tcBorders>
            <w:noWrap/>
            <w:vAlign w:val="center"/>
          </w:tcPr>
          <w:p w14:paraId="4E62B0E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w:t>
            </w:r>
          </w:p>
        </w:tc>
        <w:tc>
          <w:tcPr>
            <w:tcW w:w="1995" w:type="dxa"/>
            <w:tcBorders>
              <w:top w:val="nil"/>
              <w:left w:val="nil"/>
              <w:bottom w:val="single" w:color="000000" w:sz="8" w:space="0"/>
              <w:right w:val="single" w:color="000000" w:sz="8" w:space="0"/>
            </w:tcBorders>
            <w:noWrap w:val="0"/>
            <w:vAlign w:val="center"/>
          </w:tcPr>
          <w:p w14:paraId="1836C88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4595056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0F35965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政务能力中心</w:t>
            </w:r>
          </w:p>
        </w:tc>
        <w:tc>
          <w:tcPr>
            <w:tcW w:w="4156" w:type="dxa"/>
            <w:tcBorders>
              <w:top w:val="nil"/>
              <w:left w:val="nil"/>
              <w:bottom w:val="single" w:color="000000" w:sz="8" w:space="0"/>
              <w:right w:val="single" w:color="000000" w:sz="8" w:space="0"/>
            </w:tcBorders>
            <w:noWrap w:val="0"/>
            <w:vAlign w:val="center"/>
          </w:tcPr>
          <w:p w14:paraId="5B5EACD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共享服务管理中心</w:t>
            </w:r>
          </w:p>
        </w:tc>
        <w:tc>
          <w:tcPr>
            <w:tcW w:w="11040" w:type="dxa"/>
            <w:tcBorders>
              <w:top w:val="nil"/>
              <w:left w:val="nil"/>
              <w:bottom w:val="single" w:color="000000" w:sz="8" w:space="0"/>
              <w:right w:val="single" w:color="000000" w:sz="8" w:space="0"/>
            </w:tcBorders>
            <w:noWrap w:val="0"/>
            <w:vAlign w:val="center"/>
          </w:tcPr>
          <w:p w14:paraId="5267DE99">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共享服务管理中心作为政务能力中心的核心基础设施，提供共享服务的托管、检索、订阅、访问、鉴权等服务管理功能，帮助梳理政务能力中心各中心、各应用的调用关系，提供高效统一的服务管理入口，搭建共享服务的生态环境，让政务能力中心各中心、各应用的共享服务能统一、方便、有序地管理。</w:t>
            </w:r>
          </w:p>
        </w:tc>
        <w:tc>
          <w:tcPr>
            <w:tcW w:w="1171" w:type="dxa"/>
            <w:tcBorders>
              <w:top w:val="nil"/>
              <w:left w:val="nil"/>
              <w:bottom w:val="single" w:color="000000" w:sz="8" w:space="0"/>
              <w:right w:val="single" w:color="000000" w:sz="8" w:space="0"/>
            </w:tcBorders>
            <w:noWrap/>
            <w:vAlign w:val="center"/>
          </w:tcPr>
          <w:p w14:paraId="4B363FE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563B2BF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4078" w:type="dxa"/>
            <w:tcBorders>
              <w:top w:val="nil"/>
              <w:left w:val="single" w:color="000000" w:sz="8" w:space="0"/>
              <w:bottom w:val="single" w:color="000000" w:sz="8" w:space="0"/>
              <w:right w:val="single" w:color="000000" w:sz="8" w:space="0"/>
            </w:tcBorders>
            <w:noWrap/>
            <w:vAlign w:val="center"/>
          </w:tcPr>
          <w:p w14:paraId="44638DE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7417A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3" w:hRule="atLeast"/>
        </w:trPr>
        <w:tc>
          <w:tcPr>
            <w:tcW w:w="750" w:type="dxa"/>
            <w:tcBorders>
              <w:top w:val="nil"/>
              <w:left w:val="single" w:color="000000" w:sz="8" w:space="0"/>
              <w:bottom w:val="single" w:color="000000" w:sz="8" w:space="0"/>
              <w:right w:val="single" w:color="000000" w:sz="8" w:space="0"/>
            </w:tcBorders>
            <w:noWrap/>
            <w:vAlign w:val="center"/>
          </w:tcPr>
          <w:p w14:paraId="398BF75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c>
          <w:tcPr>
            <w:tcW w:w="1995" w:type="dxa"/>
            <w:tcBorders>
              <w:top w:val="nil"/>
              <w:left w:val="nil"/>
              <w:bottom w:val="single" w:color="000000" w:sz="8" w:space="0"/>
              <w:right w:val="single" w:color="000000" w:sz="8" w:space="0"/>
            </w:tcBorders>
            <w:noWrap w:val="0"/>
            <w:vAlign w:val="center"/>
          </w:tcPr>
          <w:p w14:paraId="3640230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0279B12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48C1FFA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政务能力中心</w:t>
            </w:r>
          </w:p>
        </w:tc>
        <w:tc>
          <w:tcPr>
            <w:tcW w:w="4156" w:type="dxa"/>
            <w:tcBorders>
              <w:top w:val="nil"/>
              <w:left w:val="nil"/>
              <w:bottom w:val="single" w:color="000000" w:sz="8" w:space="0"/>
              <w:right w:val="single" w:color="000000" w:sz="8" w:space="0"/>
            </w:tcBorders>
            <w:noWrap w:val="0"/>
            <w:vAlign w:val="center"/>
          </w:tcPr>
          <w:p w14:paraId="4279048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预约中心</w:t>
            </w:r>
          </w:p>
        </w:tc>
        <w:tc>
          <w:tcPr>
            <w:tcW w:w="11040" w:type="dxa"/>
            <w:tcBorders>
              <w:top w:val="nil"/>
              <w:left w:val="nil"/>
              <w:bottom w:val="single" w:color="000000" w:sz="8" w:space="0"/>
              <w:right w:val="single" w:color="000000" w:sz="8" w:space="0"/>
            </w:tcBorders>
            <w:noWrap w:val="0"/>
            <w:vAlign w:val="center"/>
          </w:tcPr>
          <w:p w14:paraId="75673381">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通过预约中心，实现对办理事项的提前预约办理，联通线下预约终端、排号叫号等系统，形成线上线下联动的统一预约机制，为企业和个人节省办事时间，提高政务服务效率。</w:t>
            </w:r>
          </w:p>
        </w:tc>
        <w:tc>
          <w:tcPr>
            <w:tcW w:w="1171" w:type="dxa"/>
            <w:tcBorders>
              <w:top w:val="nil"/>
              <w:left w:val="nil"/>
              <w:bottom w:val="single" w:color="000000" w:sz="8" w:space="0"/>
              <w:right w:val="single" w:color="000000" w:sz="8" w:space="0"/>
            </w:tcBorders>
            <w:noWrap/>
            <w:vAlign w:val="center"/>
          </w:tcPr>
          <w:p w14:paraId="0122926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644DAEA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4078" w:type="dxa"/>
            <w:tcBorders>
              <w:top w:val="nil"/>
              <w:left w:val="single" w:color="000000" w:sz="8" w:space="0"/>
              <w:bottom w:val="single" w:color="000000" w:sz="8" w:space="0"/>
              <w:right w:val="single" w:color="000000" w:sz="8" w:space="0"/>
            </w:tcBorders>
            <w:noWrap/>
            <w:vAlign w:val="center"/>
          </w:tcPr>
          <w:p w14:paraId="7D57BA5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0AA3A8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3" w:hRule="atLeast"/>
        </w:trPr>
        <w:tc>
          <w:tcPr>
            <w:tcW w:w="750" w:type="dxa"/>
            <w:tcBorders>
              <w:top w:val="nil"/>
              <w:left w:val="single" w:color="000000" w:sz="8" w:space="0"/>
              <w:bottom w:val="single" w:color="000000" w:sz="8" w:space="0"/>
              <w:right w:val="single" w:color="000000" w:sz="8" w:space="0"/>
            </w:tcBorders>
            <w:noWrap/>
            <w:vAlign w:val="center"/>
          </w:tcPr>
          <w:p w14:paraId="32E8A7A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11</w:t>
            </w:r>
          </w:p>
        </w:tc>
        <w:tc>
          <w:tcPr>
            <w:tcW w:w="1995" w:type="dxa"/>
            <w:tcBorders>
              <w:top w:val="nil"/>
              <w:left w:val="nil"/>
              <w:bottom w:val="single" w:color="000000" w:sz="8" w:space="0"/>
              <w:right w:val="single" w:color="000000" w:sz="8" w:space="0"/>
            </w:tcBorders>
            <w:noWrap w:val="0"/>
            <w:vAlign w:val="center"/>
          </w:tcPr>
          <w:p w14:paraId="02E42E4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2269787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4B53AFA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一窗受理云平台</w:t>
            </w:r>
          </w:p>
        </w:tc>
        <w:tc>
          <w:tcPr>
            <w:tcW w:w="4156" w:type="dxa"/>
            <w:tcBorders>
              <w:top w:val="nil"/>
              <w:left w:val="nil"/>
              <w:bottom w:val="single" w:color="000000" w:sz="8" w:space="0"/>
              <w:right w:val="single" w:color="000000" w:sz="8" w:space="0"/>
            </w:tcBorders>
            <w:noWrap w:val="0"/>
            <w:vAlign w:val="center"/>
          </w:tcPr>
          <w:p w14:paraId="2D88544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首页</w:t>
            </w:r>
          </w:p>
        </w:tc>
        <w:tc>
          <w:tcPr>
            <w:tcW w:w="11040" w:type="dxa"/>
            <w:tcBorders>
              <w:top w:val="nil"/>
              <w:left w:val="nil"/>
              <w:bottom w:val="single" w:color="000000" w:sz="8" w:space="0"/>
              <w:right w:val="single" w:color="000000" w:sz="8" w:space="0"/>
            </w:tcBorders>
            <w:noWrap w:val="0"/>
            <w:vAlign w:val="center"/>
          </w:tcPr>
          <w:p w14:paraId="3014118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办公首页主要包括工作情况提醒，快捷菜单，到期业务提醒和常用事项，以及快捷功能区。</w:t>
            </w:r>
          </w:p>
        </w:tc>
        <w:tc>
          <w:tcPr>
            <w:tcW w:w="1171" w:type="dxa"/>
            <w:tcBorders>
              <w:top w:val="nil"/>
              <w:left w:val="nil"/>
              <w:bottom w:val="single" w:color="000000" w:sz="8" w:space="0"/>
              <w:right w:val="single" w:color="000000" w:sz="8" w:space="0"/>
            </w:tcBorders>
            <w:noWrap/>
            <w:vAlign w:val="center"/>
          </w:tcPr>
          <w:p w14:paraId="2039035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55A0C41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4022AE2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649355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3" w:hRule="atLeast"/>
        </w:trPr>
        <w:tc>
          <w:tcPr>
            <w:tcW w:w="750" w:type="dxa"/>
            <w:tcBorders>
              <w:top w:val="nil"/>
              <w:left w:val="single" w:color="000000" w:sz="8" w:space="0"/>
              <w:bottom w:val="single" w:color="000000" w:sz="8" w:space="0"/>
              <w:right w:val="single" w:color="000000" w:sz="8" w:space="0"/>
            </w:tcBorders>
            <w:noWrap/>
            <w:vAlign w:val="center"/>
          </w:tcPr>
          <w:p w14:paraId="19A5379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12</w:t>
            </w:r>
          </w:p>
        </w:tc>
        <w:tc>
          <w:tcPr>
            <w:tcW w:w="1995" w:type="dxa"/>
            <w:tcBorders>
              <w:top w:val="nil"/>
              <w:left w:val="nil"/>
              <w:bottom w:val="single" w:color="000000" w:sz="8" w:space="0"/>
              <w:right w:val="single" w:color="000000" w:sz="8" w:space="0"/>
            </w:tcBorders>
            <w:noWrap w:val="0"/>
            <w:vAlign w:val="center"/>
          </w:tcPr>
          <w:p w14:paraId="7D9F966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6FD203C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28C517C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一窗受理云平台</w:t>
            </w:r>
          </w:p>
        </w:tc>
        <w:tc>
          <w:tcPr>
            <w:tcW w:w="4156" w:type="dxa"/>
            <w:tcBorders>
              <w:top w:val="nil"/>
              <w:left w:val="nil"/>
              <w:bottom w:val="single" w:color="000000" w:sz="8" w:space="0"/>
              <w:right w:val="single" w:color="000000" w:sz="8" w:space="0"/>
            </w:tcBorders>
            <w:noWrap w:val="0"/>
            <w:vAlign w:val="center"/>
          </w:tcPr>
          <w:p w14:paraId="602CE2A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综合受理</w:t>
            </w:r>
          </w:p>
        </w:tc>
        <w:tc>
          <w:tcPr>
            <w:tcW w:w="11040" w:type="dxa"/>
            <w:tcBorders>
              <w:top w:val="nil"/>
              <w:left w:val="nil"/>
              <w:bottom w:val="single" w:color="000000" w:sz="8" w:space="0"/>
              <w:right w:val="single" w:color="000000" w:sz="8" w:space="0"/>
            </w:tcBorders>
            <w:noWrap w:val="0"/>
            <w:vAlign w:val="center"/>
          </w:tcPr>
          <w:p w14:paraId="1194916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综合窗口人员登录综合受理系统，根据不同业务分类找到具体事项进行办件的受理登记，综合窗口人员根据不同的事项收取不同的材料，确认材料无误后，并将材料进行电子化，并上传材料。</w:t>
            </w:r>
          </w:p>
        </w:tc>
        <w:tc>
          <w:tcPr>
            <w:tcW w:w="1171" w:type="dxa"/>
            <w:tcBorders>
              <w:top w:val="nil"/>
              <w:left w:val="nil"/>
              <w:bottom w:val="single" w:color="000000" w:sz="8" w:space="0"/>
              <w:right w:val="single" w:color="000000" w:sz="8" w:space="0"/>
            </w:tcBorders>
            <w:noWrap/>
            <w:vAlign w:val="center"/>
          </w:tcPr>
          <w:p w14:paraId="21856FE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5669A91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4078" w:type="dxa"/>
            <w:tcBorders>
              <w:top w:val="nil"/>
              <w:left w:val="single" w:color="000000" w:sz="8" w:space="0"/>
              <w:bottom w:val="single" w:color="000000" w:sz="8" w:space="0"/>
              <w:right w:val="single" w:color="000000" w:sz="8" w:space="0"/>
            </w:tcBorders>
            <w:noWrap/>
            <w:vAlign w:val="center"/>
          </w:tcPr>
          <w:p w14:paraId="68F01B6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307A9E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3" w:hRule="atLeast"/>
        </w:trPr>
        <w:tc>
          <w:tcPr>
            <w:tcW w:w="750" w:type="dxa"/>
            <w:tcBorders>
              <w:top w:val="nil"/>
              <w:left w:val="single" w:color="000000" w:sz="8" w:space="0"/>
              <w:bottom w:val="single" w:color="000000" w:sz="8" w:space="0"/>
              <w:right w:val="single" w:color="000000" w:sz="8" w:space="0"/>
            </w:tcBorders>
            <w:noWrap/>
            <w:vAlign w:val="center"/>
          </w:tcPr>
          <w:p w14:paraId="4783C95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13</w:t>
            </w:r>
          </w:p>
        </w:tc>
        <w:tc>
          <w:tcPr>
            <w:tcW w:w="1995" w:type="dxa"/>
            <w:tcBorders>
              <w:top w:val="nil"/>
              <w:left w:val="nil"/>
              <w:bottom w:val="single" w:color="000000" w:sz="8" w:space="0"/>
              <w:right w:val="single" w:color="000000" w:sz="8" w:space="0"/>
            </w:tcBorders>
            <w:noWrap w:val="0"/>
            <w:vAlign w:val="center"/>
          </w:tcPr>
          <w:p w14:paraId="4EF6423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514FEF7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0CC9DDA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一窗受理云平台</w:t>
            </w:r>
          </w:p>
        </w:tc>
        <w:tc>
          <w:tcPr>
            <w:tcW w:w="4156" w:type="dxa"/>
            <w:tcBorders>
              <w:top w:val="nil"/>
              <w:left w:val="nil"/>
              <w:bottom w:val="single" w:color="000000" w:sz="8" w:space="0"/>
              <w:right w:val="single" w:color="000000" w:sz="8" w:space="0"/>
            </w:tcBorders>
            <w:noWrap w:val="0"/>
            <w:vAlign w:val="center"/>
          </w:tcPr>
          <w:p w14:paraId="7E910A5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协同办理</w:t>
            </w:r>
          </w:p>
        </w:tc>
        <w:tc>
          <w:tcPr>
            <w:tcW w:w="11040" w:type="dxa"/>
            <w:tcBorders>
              <w:top w:val="nil"/>
              <w:left w:val="nil"/>
              <w:bottom w:val="single" w:color="000000" w:sz="8" w:space="0"/>
              <w:right w:val="single" w:color="000000" w:sz="8" w:space="0"/>
            </w:tcBorders>
            <w:noWrap w:val="0"/>
            <w:vAlign w:val="center"/>
          </w:tcPr>
          <w:p w14:paraId="4BA5C49A">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协同办理主要是窗口人员对一件事并联件进行收件登记，支持普通一件事收件登记，容缺后补一件事收件登记。</w:t>
            </w:r>
          </w:p>
        </w:tc>
        <w:tc>
          <w:tcPr>
            <w:tcW w:w="1171" w:type="dxa"/>
            <w:tcBorders>
              <w:top w:val="nil"/>
              <w:left w:val="nil"/>
              <w:bottom w:val="single" w:color="000000" w:sz="8" w:space="0"/>
              <w:right w:val="single" w:color="000000" w:sz="8" w:space="0"/>
            </w:tcBorders>
            <w:noWrap/>
            <w:vAlign w:val="center"/>
          </w:tcPr>
          <w:p w14:paraId="7FFFDD3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45EBC05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4078" w:type="dxa"/>
            <w:tcBorders>
              <w:top w:val="nil"/>
              <w:left w:val="single" w:color="000000" w:sz="8" w:space="0"/>
              <w:bottom w:val="single" w:color="000000" w:sz="8" w:space="0"/>
              <w:right w:val="single" w:color="000000" w:sz="8" w:space="0"/>
            </w:tcBorders>
            <w:noWrap/>
            <w:vAlign w:val="center"/>
          </w:tcPr>
          <w:p w14:paraId="20767D6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305432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4CFBC82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14</w:t>
            </w:r>
          </w:p>
        </w:tc>
        <w:tc>
          <w:tcPr>
            <w:tcW w:w="1995" w:type="dxa"/>
            <w:tcBorders>
              <w:top w:val="nil"/>
              <w:left w:val="nil"/>
              <w:bottom w:val="single" w:color="000000" w:sz="8" w:space="0"/>
              <w:right w:val="single" w:color="000000" w:sz="8" w:space="0"/>
            </w:tcBorders>
            <w:noWrap w:val="0"/>
            <w:vAlign w:val="center"/>
          </w:tcPr>
          <w:p w14:paraId="33EABA4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1BA09E7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27B2EBD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一窗受理云平台</w:t>
            </w:r>
          </w:p>
        </w:tc>
        <w:tc>
          <w:tcPr>
            <w:tcW w:w="4156" w:type="dxa"/>
            <w:tcBorders>
              <w:top w:val="nil"/>
              <w:left w:val="nil"/>
              <w:bottom w:val="single" w:color="000000" w:sz="8" w:space="0"/>
              <w:right w:val="single" w:color="000000" w:sz="8" w:space="0"/>
            </w:tcBorders>
            <w:noWrap w:val="0"/>
            <w:vAlign w:val="center"/>
          </w:tcPr>
          <w:p w14:paraId="6E7FA61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结果取件</w:t>
            </w:r>
          </w:p>
        </w:tc>
        <w:tc>
          <w:tcPr>
            <w:tcW w:w="11040" w:type="dxa"/>
            <w:tcBorders>
              <w:top w:val="nil"/>
              <w:left w:val="nil"/>
              <w:bottom w:val="single" w:color="000000" w:sz="8" w:space="0"/>
              <w:right w:val="single" w:color="000000" w:sz="8" w:space="0"/>
            </w:tcBorders>
            <w:noWrap w:val="0"/>
            <w:vAlign w:val="center"/>
          </w:tcPr>
          <w:p w14:paraId="6DC9AAB4">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综合受理系统提供寄件窗口的基本信息维护功能，主要包括对各部门的取件窗口、联系方式、联系人、客户编码等信息进行维护，供后续寄件下单时选择使用。</w:t>
            </w:r>
          </w:p>
        </w:tc>
        <w:tc>
          <w:tcPr>
            <w:tcW w:w="1171" w:type="dxa"/>
            <w:tcBorders>
              <w:top w:val="nil"/>
              <w:left w:val="nil"/>
              <w:bottom w:val="single" w:color="000000" w:sz="8" w:space="0"/>
              <w:right w:val="single" w:color="000000" w:sz="8" w:space="0"/>
            </w:tcBorders>
            <w:noWrap/>
            <w:vAlign w:val="center"/>
          </w:tcPr>
          <w:p w14:paraId="0CDF859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781E8FD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4078" w:type="dxa"/>
            <w:tcBorders>
              <w:top w:val="nil"/>
              <w:left w:val="single" w:color="000000" w:sz="8" w:space="0"/>
              <w:bottom w:val="single" w:color="000000" w:sz="8" w:space="0"/>
              <w:right w:val="single" w:color="000000" w:sz="8" w:space="0"/>
            </w:tcBorders>
            <w:noWrap/>
            <w:vAlign w:val="center"/>
          </w:tcPr>
          <w:p w14:paraId="4626B91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306AFA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54CD076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15</w:t>
            </w:r>
          </w:p>
        </w:tc>
        <w:tc>
          <w:tcPr>
            <w:tcW w:w="1995" w:type="dxa"/>
            <w:tcBorders>
              <w:top w:val="nil"/>
              <w:left w:val="nil"/>
              <w:bottom w:val="single" w:color="000000" w:sz="8" w:space="0"/>
              <w:right w:val="single" w:color="000000" w:sz="8" w:space="0"/>
            </w:tcBorders>
            <w:noWrap w:val="0"/>
            <w:vAlign w:val="center"/>
          </w:tcPr>
          <w:p w14:paraId="7B4103D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508ED95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59E3E7E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一窗受理云平台</w:t>
            </w:r>
          </w:p>
        </w:tc>
        <w:tc>
          <w:tcPr>
            <w:tcW w:w="4156" w:type="dxa"/>
            <w:tcBorders>
              <w:top w:val="nil"/>
              <w:left w:val="nil"/>
              <w:bottom w:val="single" w:color="000000" w:sz="8" w:space="0"/>
              <w:right w:val="single" w:color="000000" w:sz="8" w:space="0"/>
            </w:tcBorders>
            <w:noWrap w:val="0"/>
            <w:vAlign w:val="center"/>
          </w:tcPr>
          <w:p w14:paraId="6BCD965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业务跟踪</w:t>
            </w:r>
          </w:p>
        </w:tc>
        <w:tc>
          <w:tcPr>
            <w:tcW w:w="11040" w:type="dxa"/>
            <w:tcBorders>
              <w:top w:val="nil"/>
              <w:left w:val="nil"/>
              <w:bottom w:val="single" w:color="000000" w:sz="8" w:space="0"/>
              <w:right w:val="single" w:color="000000" w:sz="8" w:space="0"/>
            </w:tcBorders>
            <w:noWrap w:val="0"/>
            <w:vAlign w:val="center"/>
          </w:tcPr>
          <w:p w14:paraId="4E6D6411">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实现各类业务办理的所有业务类型、受理到期、办结到期和超期情况进行业务查询和跟踪。</w:t>
            </w:r>
          </w:p>
        </w:tc>
        <w:tc>
          <w:tcPr>
            <w:tcW w:w="1171" w:type="dxa"/>
            <w:tcBorders>
              <w:top w:val="nil"/>
              <w:left w:val="nil"/>
              <w:bottom w:val="single" w:color="000000" w:sz="8" w:space="0"/>
              <w:right w:val="single" w:color="000000" w:sz="8" w:space="0"/>
            </w:tcBorders>
            <w:noWrap/>
            <w:vAlign w:val="center"/>
          </w:tcPr>
          <w:p w14:paraId="1C48C37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7FFE95C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4078" w:type="dxa"/>
            <w:tcBorders>
              <w:top w:val="nil"/>
              <w:left w:val="single" w:color="000000" w:sz="8" w:space="0"/>
              <w:bottom w:val="single" w:color="000000" w:sz="8" w:space="0"/>
              <w:right w:val="single" w:color="000000" w:sz="8" w:space="0"/>
            </w:tcBorders>
            <w:noWrap/>
            <w:vAlign w:val="center"/>
          </w:tcPr>
          <w:p w14:paraId="5D9D9F5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483005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65762DE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w:t>
            </w:r>
          </w:p>
        </w:tc>
        <w:tc>
          <w:tcPr>
            <w:tcW w:w="1995" w:type="dxa"/>
            <w:tcBorders>
              <w:top w:val="nil"/>
              <w:left w:val="nil"/>
              <w:bottom w:val="single" w:color="000000" w:sz="8" w:space="0"/>
              <w:right w:val="single" w:color="000000" w:sz="8" w:space="0"/>
            </w:tcBorders>
            <w:noWrap w:val="0"/>
            <w:vAlign w:val="center"/>
          </w:tcPr>
          <w:p w14:paraId="1B565BF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7AD01FA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4B26C33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一窗受理云平台</w:t>
            </w:r>
          </w:p>
        </w:tc>
        <w:tc>
          <w:tcPr>
            <w:tcW w:w="4156" w:type="dxa"/>
            <w:tcBorders>
              <w:top w:val="nil"/>
              <w:left w:val="nil"/>
              <w:bottom w:val="single" w:color="000000" w:sz="8" w:space="0"/>
              <w:right w:val="single" w:color="000000" w:sz="8" w:space="0"/>
            </w:tcBorders>
            <w:noWrap w:val="0"/>
            <w:vAlign w:val="center"/>
          </w:tcPr>
          <w:p w14:paraId="1380839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便民代办</w:t>
            </w:r>
          </w:p>
        </w:tc>
        <w:tc>
          <w:tcPr>
            <w:tcW w:w="11040" w:type="dxa"/>
            <w:tcBorders>
              <w:top w:val="nil"/>
              <w:left w:val="nil"/>
              <w:bottom w:val="single" w:color="000000" w:sz="8" w:space="0"/>
              <w:right w:val="single" w:color="000000" w:sz="8" w:space="0"/>
            </w:tcBorders>
            <w:noWrap w:val="0"/>
            <w:vAlign w:val="center"/>
          </w:tcPr>
          <w:p w14:paraId="1B94010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在街道（乡镇）、社区（村）提供民生领域的咨询和审批服务，如：老年证、残疾证办理等。主要功能包括：代办业务、所有代办业务、草稿件业务。</w:t>
            </w:r>
          </w:p>
        </w:tc>
        <w:tc>
          <w:tcPr>
            <w:tcW w:w="1171" w:type="dxa"/>
            <w:tcBorders>
              <w:top w:val="nil"/>
              <w:left w:val="nil"/>
              <w:bottom w:val="single" w:color="000000" w:sz="8" w:space="0"/>
              <w:right w:val="single" w:color="000000" w:sz="8" w:space="0"/>
            </w:tcBorders>
            <w:noWrap/>
            <w:vAlign w:val="center"/>
          </w:tcPr>
          <w:p w14:paraId="77E6DFB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49DCEE8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4078" w:type="dxa"/>
            <w:tcBorders>
              <w:top w:val="nil"/>
              <w:left w:val="single" w:color="000000" w:sz="8" w:space="0"/>
              <w:bottom w:val="single" w:color="000000" w:sz="8" w:space="0"/>
              <w:right w:val="single" w:color="000000" w:sz="8" w:space="0"/>
            </w:tcBorders>
            <w:noWrap/>
            <w:vAlign w:val="center"/>
          </w:tcPr>
          <w:p w14:paraId="71EFA72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0A96B5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74699BA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17</w:t>
            </w:r>
          </w:p>
        </w:tc>
        <w:tc>
          <w:tcPr>
            <w:tcW w:w="1995" w:type="dxa"/>
            <w:tcBorders>
              <w:top w:val="nil"/>
              <w:left w:val="nil"/>
              <w:bottom w:val="single" w:color="000000" w:sz="8" w:space="0"/>
              <w:right w:val="single" w:color="000000" w:sz="8" w:space="0"/>
            </w:tcBorders>
            <w:noWrap w:val="0"/>
            <w:vAlign w:val="center"/>
          </w:tcPr>
          <w:p w14:paraId="1B1699A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4549700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5E6E259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一窗受理云平台</w:t>
            </w:r>
          </w:p>
        </w:tc>
        <w:tc>
          <w:tcPr>
            <w:tcW w:w="4156" w:type="dxa"/>
            <w:tcBorders>
              <w:top w:val="nil"/>
              <w:left w:val="nil"/>
              <w:bottom w:val="single" w:color="000000" w:sz="8" w:space="0"/>
              <w:right w:val="single" w:color="000000" w:sz="8" w:space="0"/>
            </w:tcBorders>
            <w:noWrap w:val="0"/>
            <w:vAlign w:val="center"/>
          </w:tcPr>
          <w:p w14:paraId="251B289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大厅运行统计分析</w:t>
            </w:r>
          </w:p>
        </w:tc>
        <w:tc>
          <w:tcPr>
            <w:tcW w:w="11040" w:type="dxa"/>
            <w:tcBorders>
              <w:top w:val="nil"/>
              <w:left w:val="nil"/>
              <w:bottom w:val="single" w:color="000000" w:sz="8" w:space="0"/>
              <w:right w:val="single" w:color="000000" w:sz="8" w:space="0"/>
            </w:tcBorders>
            <w:noWrap w:val="0"/>
            <w:vAlign w:val="center"/>
          </w:tcPr>
          <w:p w14:paraId="179FDD73">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通过报表、图表方式展示系统中设定的指定数据，为服务于智慧大厅，为群众和工作人员办件引导。数据通过电脑端、大厅电子屏等多种方式进行展示。</w:t>
            </w:r>
          </w:p>
        </w:tc>
        <w:tc>
          <w:tcPr>
            <w:tcW w:w="1171" w:type="dxa"/>
            <w:tcBorders>
              <w:top w:val="nil"/>
              <w:left w:val="nil"/>
              <w:bottom w:val="single" w:color="000000" w:sz="8" w:space="0"/>
              <w:right w:val="single" w:color="000000" w:sz="8" w:space="0"/>
            </w:tcBorders>
            <w:noWrap/>
            <w:vAlign w:val="center"/>
          </w:tcPr>
          <w:p w14:paraId="0BC3F20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31D64D8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4078" w:type="dxa"/>
            <w:tcBorders>
              <w:top w:val="nil"/>
              <w:left w:val="single" w:color="000000" w:sz="8" w:space="0"/>
              <w:bottom w:val="single" w:color="000000" w:sz="8" w:space="0"/>
              <w:right w:val="single" w:color="000000" w:sz="8" w:space="0"/>
            </w:tcBorders>
            <w:noWrap/>
            <w:vAlign w:val="center"/>
          </w:tcPr>
          <w:p w14:paraId="75D2FAF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7E3A6A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0B04940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18</w:t>
            </w:r>
          </w:p>
        </w:tc>
        <w:tc>
          <w:tcPr>
            <w:tcW w:w="1995" w:type="dxa"/>
            <w:tcBorders>
              <w:top w:val="nil"/>
              <w:left w:val="nil"/>
              <w:bottom w:val="single" w:color="000000" w:sz="8" w:space="0"/>
              <w:right w:val="single" w:color="000000" w:sz="8" w:space="0"/>
            </w:tcBorders>
            <w:noWrap w:val="0"/>
            <w:vAlign w:val="center"/>
          </w:tcPr>
          <w:p w14:paraId="4DC7E65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007699A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4138AA7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权力运行系统</w:t>
            </w:r>
          </w:p>
        </w:tc>
        <w:tc>
          <w:tcPr>
            <w:tcW w:w="4156" w:type="dxa"/>
            <w:tcBorders>
              <w:top w:val="nil"/>
              <w:left w:val="nil"/>
              <w:bottom w:val="single" w:color="000000" w:sz="8" w:space="0"/>
              <w:right w:val="single" w:color="000000" w:sz="8" w:space="0"/>
            </w:tcBorders>
            <w:noWrap w:val="0"/>
            <w:vAlign w:val="center"/>
          </w:tcPr>
          <w:p w14:paraId="430ED6C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业务办理</w:t>
            </w:r>
          </w:p>
        </w:tc>
        <w:tc>
          <w:tcPr>
            <w:tcW w:w="11040" w:type="dxa"/>
            <w:tcBorders>
              <w:top w:val="nil"/>
              <w:left w:val="nil"/>
              <w:bottom w:val="single" w:color="000000" w:sz="8" w:space="0"/>
              <w:right w:val="single" w:color="000000" w:sz="8" w:space="0"/>
            </w:tcBorders>
            <w:noWrap w:val="0"/>
            <w:vAlign w:val="center"/>
          </w:tcPr>
          <w:p w14:paraId="7D03BF1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通过待受理、待审批、特别程序、公文出证、作废确认、业务归档等功能来支撑业务办理服务。</w:t>
            </w:r>
          </w:p>
        </w:tc>
        <w:tc>
          <w:tcPr>
            <w:tcW w:w="1171" w:type="dxa"/>
            <w:tcBorders>
              <w:top w:val="nil"/>
              <w:left w:val="nil"/>
              <w:bottom w:val="single" w:color="000000" w:sz="8" w:space="0"/>
              <w:right w:val="single" w:color="000000" w:sz="8" w:space="0"/>
            </w:tcBorders>
            <w:noWrap/>
            <w:vAlign w:val="center"/>
          </w:tcPr>
          <w:p w14:paraId="7D725F5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41EAD28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4078" w:type="dxa"/>
            <w:tcBorders>
              <w:top w:val="nil"/>
              <w:left w:val="single" w:color="000000" w:sz="8" w:space="0"/>
              <w:bottom w:val="single" w:color="000000" w:sz="8" w:space="0"/>
              <w:right w:val="single" w:color="000000" w:sz="8" w:space="0"/>
            </w:tcBorders>
            <w:noWrap/>
            <w:vAlign w:val="center"/>
          </w:tcPr>
          <w:p w14:paraId="1B441C7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6CA1B5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40A10A1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19</w:t>
            </w:r>
          </w:p>
        </w:tc>
        <w:tc>
          <w:tcPr>
            <w:tcW w:w="1995" w:type="dxa"/>
            <w:tcBorders>
              <w:top w:val="nil"/>
              <w:left w:val="nil"/>
              <w:bottom w:val="single" w:color="000000" w:sz="8" w:space="0"/>
              <w:right w:val="single" w:color="000000" w:sz="8" w:space="0"/>
            </w:tcBorders>
            <w:noWrap w:val="0"/>
            <w:vAlign w:val="center"/>
          </w:tcPr>
          <w:p w14:paraId="52003FC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74EAFDB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56C33C9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权力运行系统</w:t>
            </w:r>
          </w:p>
        </w:tc>
        <w:tc>
          <w:tcPr>
            <w:tcW w:w="4156" w:type="dxa"/>
            <w:tcBorders>
              <w:top w:val="nil"/>
              <w:left w:val="nil"/>
              <w:bottom w:val="single" w:color="000000" w:sz="8" w:space="0"/>
              <w:right w:val="single" w:color="000000" w:sz="8" w:space="0"/>
            </w:tcBorders>
            <w:noWrap w:val="0"/>
            <w:vAlign w:val="center"/>
          </w:tcPr>
          <w:p w14:paraId="5068C11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业务查询</w:t>
            </w:r>
          </w:p>
        </w:tc>
        <w:tc>
          <w:tcPr>
            <w:tcW w:w="11040" w:type="dxa"/>
            <w:tcBorders>
              <w:top w:val="nil"/>
              <w:left w:val="nil"/>
              <w:bottom w:val="single" w:color="000000" w:sz="8" w:space="0"/>
              <w:right w:val="single" w:color="000000" w:sz="8" w:space="0"/>
            </w:tcBorders>
            <w:noWrap w:val="0"/>
            <w:vAlign w:val="center"/>
          </w:tcPr>
          <w:p w14:paraId="2E248B1E">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支持综合查询，支持对多种检索条件的查询，包括申报时间、事项名称、办件类型、申报来源等。</w:t>
            </w:r>
          </w:p>
        </w:tc>
        <w:tc>
          <w:tcPr>
            <w:tcW w:w="1171" w:type="dxa"/>
            <w:tcBorders>
              <w:top w:val="nil"/>
              <w:left w:val="nil"/>
              <w:bottom w:val="single" w:color="000000" w:sz="8" w:space="0"/>
              <w:right w:val="single" w:color="000000" w:sz="8" w:space="0"/>
            </w:tcBorders>
            <w:noWrap/>
            <w:vAlign w:val="center"/>
          </w:tcPr>
          <w:p w14:paraId="4EA04C9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21485DC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4078" w:type="dxa"/>
            <w:tcBorders>
              <w:top w:val="nil"/>
              <w:left w:val="single" w:color="000000" w:sz="8" w:space="0"/>
              <w:bottom w:val="single" w:color="000000" w:sz="8" w:space="0"/>
              <w:right w:val="single" w:color="000000" w:sz="8" w:space="0"/>
            </w:tcBorders>
            <w:noWrap/>
            <w:vAlign w:val="center"/>
          </w:tcPr>
          <w:p w14:paraId="038D384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064D6B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0" w:hRule="atLeast"/>
        </w:trPr>
        <w:tc>
          <w:tcPr>
            <w:tcW w:w="750" w:type="dxa"/>
            <w:tcBorders>
              <w:top w:val="nil"/>
              <w:left w:val="single" w:color="000000" w:sz="8" w:space="0"/>
              <w:bottom w:val="single" w:color="000000" w:sz="8" w:space="0"/>
              <w:right w:val="single" w:color="000000" w:sz="8" w:space="0"/>
            </w:tcBorders>
            <w:noWrap/>
            <w:vAlign w:val="center"/>
          </w:tcPr>
          <w:p w14:paraId="018B4F2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20</w:t>
            </w:r>
          </w:p>
        </w:tc>
        <w:tc>
          <w:tcPr>
            <w:tcW w:w="1995" w:type="dxa"/>
            <w:tcBorders>
              <w:top w:val="nil"/>
              <w:left w:val="nil"/>
              <w:bottom w:val="single" w:color="000000" w:sz="8" w:space="0"/>
              <w:right w:val="single" w:color="000000" w:sz="8" w:space="0"/>
            </w:tcBorders>
            <w:noWrap w:val="0"/>
            <w:vAlign w:val="center"/>
          </w:tcPr>
          <w:p w14:paraId="1F4804C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3ECC6E5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3558B1D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权力运行系统</w:t>
            </w:r>
          </w:p>
        </w:tc>
        <w:tc>
          <w:tcPr>
            <w:tcW w:w="4156" w:type="dxa"/>
            <w:tcBorders>
              <w:top w:val="nil"/>
              <w:left w:val="nil"/>
              <w:bottom w:val="single" w:color="000000" w:sz="8" w:space="0"/>
              <w:right w:val="single" w:color="000000" w:sz="8" w:space="0"/>
            </w:tcBorders>
            <w:noWrap w:val="0"/>
            <w:vAlign w:val="center"/>
          </w:tcPr>
          <w:p w14:paraId="1AF0426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业务委托</w:t>
            </w:r>
          </w:p>
        </w:tc>
        <w:tc>
          <w:tcPr>
            <w:tcW w:w="11040" w:type="dxa"/>
            <w:tcBorders>
              <w:top w:val="nil"/>
              <w:left w:val="nil"/>
              <w:bottom w:val="single" w:color="000000" w:sz="8" w:space="0"/>
              <w:right w:val="single" w:color="000000" w:sz="8" w:space="0"/>
            </w:tcBorders>
            <w:noWrap w:val="0"/>
            <w:vAlign w:val="center"/>
          </w:tcPr>
          <w:p w14:paraId="7F33FB1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支持委托给别人办件，并且可以对办件进行跟踪，包括已收办件和办结办件。</w:t>
            </w:r>
          </w:p>
        </w:tc>
        <w:tc>
          <w:tcPr>
            <w:tcW w:w="1171" w:type="dxa"/>
            <w:tcBorders>
              <w:top w:val="nil"/>
              <w:left w:val="nil"/>
              <w:bottom w:val="single" w:color="000000" w:sz="8" w:space="0"/>
              <w:right w:val="single" w:color="000000" w:sz="8" w:space="0"/>
            </w:tcBorders>
            <w:noWrap/>
            <w:vAlign w:val="center"/>
          </w:tcPr>
          <w:p w14:paraId="41CF907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0A545C0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78221F3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5DFA48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0" w:hRule="atLeast"/>
        </w:trPr>
        <w:tc>
          <w:tcPr>
            <w:tcW w:w="750" w:type="dxa"/>
            <w:tcBorders>
              <w:top w:val="nil"/>
              <w:left w:val="single" w:color="000000" w:sz="8" w:space="0"/>
              <w:bottom w:val="single" w:color="000000" w:sz="8" w:space="0"/>
              <w:right w:val="single" w:color="000000" w:sz="8" w:space="0"/>
            </w:tcBorders>
            <w:noWrap/>
            <w:vAlign w:val="center"/>
          </w:tcPr>
          <w:p w14:paraId="7F8E249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21</w:t>
            </w:r>
          </w:p>
        </w:tc>
        <w:tc>
          <w:tcPr>
            <w:tcW w:w="1995" w:type="dxa"/>
            <w:tcBorders>
              <w:top w:val="nil"/>
              <w:left w:val="nil"/>
              <w:bottom w:val="single" w:color="000000" w:sz="8" w:space="0"/>
              <w:right w:val="single" w:color="000000" w:sz="8" w:space="0"/>
            </w:tcBorders>
            <w:noWrap w:val="0"/>
            <w:vAlign w:val="center"/>
          </w:tcPr>
          <w:p w14:paraId="2450C82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799B8D6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6A7ABAF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权力运行系统</w:t>
            </w:r>
          </w:p>
        </w:tc>
        <w:tc>
          <w:tcPr>
            <w:tcW w:w="4156" w:type="dxa"/>
            <w:tcBorders>
              <w:top w:val="nil"/>
              <w:left w:val="nil"/>
              <w:bottom w:val="single" w:color="000000" w:sz="8" w:space="0"/>
              <w:right w:val="single" w:color="000000" w:sz="8" w:space="0"/>
            </w:tcBorders>
            <w:noWrap w:val="0"/>
            <w:vAlign w:val="center"/>
          </w:tcPr>
          <w:p w14:paraId="1513064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业务联动</w:t>
            </w:r>
          </w:p>
        </w:tc>
        <w:tc>
          <w:tcPr>
            <w:tcW w:w="11040" w:type="dxa"/>
            <w:tcBorders>
              <w:top w:val="nil"/>
              <w:left w:val="nil"/>
              <w:bottom w:val="single" w:color="000000" w:sz="8" w:space="0"/>
              <w:right w:val="single" w:color="000000" w:sz="8" w:space="0"/>
            </w:tcBorders>
            <w:noWrap w:val="0"/>
            <w:vAlign w:val="center"/>
          </w:tcPr>
          <w:p w14:paraId="6A0E90F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支持发起补齐补正、退件、补件重启、上报退件、上报办结等办件流转操作。</w:t>
            </w:r>
          </w:p>
        </w:tc>
        <w:tc>
          <w:tcPr>
            <w:tcW w:w="1171" w:type="dxa"/>
            <w:tcBorders>
              <w:top w:val="nil"/>
              <w:left w:val="nil"/>
              <w:bottom w:val="single" w:color="000000" w:sz="8" w:space="0"/>
              <w:right w:val="single" w:color="000000" w:sz="8" w:space="0"/>
            </w:tcBorders>
            <w:noWrap/>
            <w:vAlign w:val="center"/>
          </w:tcPr>
          <w:p w14:paraId="3171DE5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10E148E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49AEB18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48A924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585E3E7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22</w:t>
            </w:r>
          </w:p>
        </w:tc>
        <w:tc>
          <w:tcPr>
            <w:tcW w:w="1995" w:type="dxa"/>
            <w:tcBorders>
              <w:top w:val="nil"/>
              <w:left w:val="nil"/>
              <w:bottom w:val="single" w:color="000000" w:sz="8" w:space="0"/>
              <w:right w:val="single" w:color="000000" w:sz="8" w:space="0"/>
            </w:tcBorders>
            <w:noWrap w:val="0"/>
            <w:vAlign w:val="center"/>
          </w:tcPr>
          <w:p w14:paraId="3BEC399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501AA96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33BF083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权力运行系统</w:t>
            </w:r>
          </w:p>
        </w:tc>
        <w:tc>
          <w:tcPr>
            <w:tcW w:w="4156" w:type="dxa"/>
            <w:tcBorders>
              <w:top w:val="nil"/>
              <w:left w:val="nil"/>
              <w:bottom w:val="single" w:color="000000" w:sz="8" w:space="0"/>
              <w:right w:val="single" w:color="000000" w:sz="8" w:space="0"/>
            </w:tcBorders>
            <w:noWrap w:val="0"/>
            <w:vAlign w:val="center"/>
          </w:tcPr>
          <w:p w14:paraId="7B80017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联合会审</w:t>
            </w:r>
          </w:p>
        </w:tc>
        <w:tc>
          <w:tcPr>
            <w:tcW w:w="11040" w:type="dxa"/>
            <w:tcBorders>
              <w:top w:val="nil"/>
              <w:left w:val="nil"/>
              <w:bottom w:val="single" w:color="000000" w:sz="8" w:space="0"/>
              <w:right w:val="single" w:color="000000" w:sz="8" w:space="0"/>
            </w:tcBorders>
            <w:noWrap w:val="0"/>
            <w:vAlign w:val="center"/>
          </w:tcPr>
          <w:p w14:paraId="625B66D6">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可发起联审，针对某个办件，主审单位选择参审单位，确定联审主题、预期办结日期等信息，请求一起讨论，给出意见。</w:t>
            </w:r>
          </w:p>
        </w:tc>
        <w:tc>
          <w:tcPr>
            <w:tcW w:w="1171" w:type="dxa"/>
            <w:tcBorders>
              <w:top w:val="nil"/>
              <w:left w:val="nil"/>
              <w:bottom w:val="single" w:color="000000" w:sz="8" w:space="0"/>
              <w:right w:val="single" w:color="000000" w:sz="8" w:space="0"/>
            </w:tcBorders>
            <w:noWrap/>
            <w:vAlign w:val="center"/>
          </w:tcPr>
          <w:p w14:paraId="6EF0710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28C3742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5BB448A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7DBD9A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0" w:hRule="atLeast"/>
        </w:trPr>
        <w:tc>
          <w:tcPr>
            <w:tcW w:w="750" w:type="dxa"/>
            <w:tcBorders>
              <w:top w:val="nil"/>
              <w:left w:val="single" w:color="000000" w:sz="8" w:space="0"/>
              <w:bottom w:val="single" w:color="000000" w:sz="8" w:space="0"/>
              <w:right w:val="single" w:color="000000" w:sz="8" w:space="0"/>
            </w:tcBorders>
            <w:noWrap/>
            <w:vAlign w:val="center"/>
          </w:tcPr>
          <w:p w14:paraId="5B68BA9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23</w:t>
            </w:r>
          </w:p>
        </w:tc>
        <w:tc>
          <w:tcPr>
            <w:tcW w:w="1995" w:type="dxa"/>
            <w:tcBorders>
              <w:top w:val="nil"/>
              <w:left w:val="nil"/>
              <w:bottom w:val="single" w:color="000000" w:sz="8" w:space="0"/>
              <w:right w:val="single" w:color="000000" w:sz="8" w:space="0"/>
            </w:tcBorders>
            <w:noWrap w:val="0"/>
            <w:vAlign w:val="center"/>
          </w:tcPr>
          <w:p w14:paraId="52BDB78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0B8FE60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021076B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权力运行系统</w:t>
            </w:r>
          </w:p>
        </w:tc>
        <w:tc>
          <w:tcPr>
            <w:tcW w:w="4156" w:type="dxa"/>
            <w:tcBorders>
              <w:top w:val="nil"/>
              <w:left w:val="nil"/>
              <w:bottom w:val="single" w:color="000000" w:sz="8" w:space="0"/>
              <w:right w:val="single" w:color="000000" w:sz="8" w:space="0"/>
            </w:tcBorders>
            <w:noWrap w:val="0"/>
            <w:vAlign w:val="center"/>
          </w:tcPr>
          <w:p w14:paraId="2C7F039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一件事业务</w:t>
            </w:r>
          </w:p>
        </w:tc>
        <w:tc>
          <w:tcPr>
            <w:tcW w:w="11040" w:type="dxa"/>
            <w:tcBorders>
              <w:top w:val="nil"/>
              <w:left w:val="nil"/>
              <w:bottom w:val="single" w:color="000000" w:sz="8" w:space="0"/>
              <w:right w:val="single" w:color="000000" w:sz="8" w:space="0"/>
            </w:tcBorders>
            <w:noWrap w:val="0"/>
            <w:vAlign w:val="center"/>
          </w:tcPr>
          <w:p w14:paraId="073B93A9">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展示一件事的基本信息申报信息：展示申请人信息、情形引导问题及答案。</w:t>
            </w:r>
          </w:p>
        </w:tc>
        <w:tc>
          <w:tcPr>
            <w:tcW w:w="1171" w:type="dxa"/>
            <w:tcBorders>
              <w:top w:val="nil"/>
              <w:left w:val="nil"/>
              <w:bottom w:val="single" w:color="000000" w:sz="8" w:space="0"/>
              <w:right w:val="single" w:color="000000" w:sz="8" w:space="0"/>
            </w:tcBorders>
            <w:noWrap/>
            <w:vAlign w:val="center"/>
          </w:tcPr>
          <w:p w14:paraId="1C6E119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5815259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679CEE9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6F4C6A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788EEE0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24</w:t>
            </w:r>
          </w:p>
        </w:tc>
        <w:tc>
          <w:tcPr>
            <w:tcW w:w="1995" w:type="dxa"/>
            <w:tcBorders>
              <w:top w:val="nil"/>
              <w:left w:val="nil"/>
              <w:bottom w:val="single" w:color="000000" w:sz="8" w:space="0"/>
              <w:right w:val="single" w:color="000000" w:sz="8" w:space="0"/>
            </w:tcBorders>
            <w:noWrap w:val="0"/>
            <w:vAlign w:val="center"/>
          </w:tcPr>
          <w:p w14:paraId="551BE62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02874FF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72BD4BC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权力运行系统</w:t>
            </w:r>
          </w:p>
        </w:tc>
        <w:tc>
          <w:tcPr>
            <w:tcW w:w="4156" w:type="dxa"/>
            <w:tcBorders>
              <w:top w:val="nil"/>
              <w:left w:val="nil"/>
              <w:bottom w:val="single" w:color="000000" w:sz="8" w:space="0"/>
              <w:right w:val="single" w:color="000000" w:sz="8" w:space="0"/>
            </w:tcBorders>
            <w:noWrap w:val="0"/>
            <w:vAlign w:val="center"/>
          </w:tcPr>
          <w:p w14:paraId="43A264D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统计监察</w:t>
            </w:r>
          </w:p>
        </w:tc>
        <w:tc>
          <w:tcPr>
            <w:tcW w:w="11040" w:type="dxa"/>
            <w:tcBorders>
              <w:top w:val="nil"/>
              <w:left w:val="nil"/>
              <w:bottom w:val="single" w:color="000000" w:sz="8" w:space="0"/>
              <w:right w:val="single" w:color="000000" w:sz="8" w:space="0"/>
            </w:tcBorders>
            <w:noWrap w:val="0"/>
            <w:vAlign w:val="center"/>
          </w:tcPr>
          <w:p w14:paraId="634B107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提供办件类型统计、按部门统计、按部门统计办件情况、按事项统计、按事项统计办件情况、日清报表、部门人员业务量统计、按人员统计业务办件量等多维度统计。</w:t>
            </w:r>
          </w:p>
        </w:tc>
        <w:tc>
          <w:tcPr>
            <w:tcW w:w="1171" w:type="dxa"/>
            <w:tcBorders>
              <w:top w:val="nil"/>
              <w:left w:val="nil"/>
              <w:bottom w:val="single" w:color="000000" w:sz="8" w:space="0"/>
              <w:right w:val="single" w:color="000000" w:sz="8" w:space="0"/>
            </w:tcBorders>
            <w:noWrap/>
            <w:vAlign w:val="center"/>
          </w:tcPr>
          <w:p w14:paraId="30F90D9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3C4A577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6D4F8AF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68699C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760907E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26</w:t>
            </w:r>
          </w:p>
        </w:tc>
        <w:tc>
          <w:tcPr>
            <w:tcW w:w="1995" w:type="dxa"/>
            <w:tcBorders>
              <w:top w:val="nil"/>
              <w:left w:val="nil"/>
              <w:bottom w:val="single" w:color="000000" w:sz="8" w:space="0"/>
              <w:right w:val="single" w:color="000000" w:sz="8" w:space="0"/>
            </w:tcBorders>
            <w:noWrap w:val="0"/>
            <w:vAlign w:val="center"/>
          </w:tcPr>
          <w:p w14:paraId="5776E93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3F82700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31EF7DD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特色服务应用</w:t>
            </w:r>
          </w:p>
        </w:tc>
        <w:tc>
          <w:tcPr>
            <w:tcW w:w="4156" w:type="dxa"/>
            <w:tcBorders>
              <w:top w:val="nil"/>
              <w:left w:val="nil"/>
              <w:bottom w:val="single" w:color="000000" w:sz="8" w:space="0"/>
              <w:right w:val="single" w:color="000000" w:sz="8" w:space="0"/>
            </w:tcBorders>
            <w:noWrap w:val="0"/>
            <w:vAlign w:val="center"/>
          </w:tcPr>
          <w:p w14:paraId="429E7DB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高频事项服务专题</w:t>
            </w:r>
          </w:p>
        </w:tc>
        <w:tc>
          <w:tcPr>
            <w:tcW w:w="11040" w:type="dxa"/>
            <w:tcBorders>
              <w:top w:val="nil"/>
              <w:left w:val="nil"/>
              <w:bottom w:val="single" w:color="000000" w:sz="8" w:space="0"/>
              <w:right w:val="single" w:color="000000" w:sz="8" w:space="0"/>
            </w:tcBorders>
            <w:noWrap w:val="0"/>
            <w:vAlign w:val="center"/>
          </w:tcPr>
          <w:p w14:paraId="524B76B1">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依托本次建设的政务能力中心，聚焦企业生产经营、群众生产生活密切相关的重点领域和办理量大的事项梳理出一批高频事项目录清单，构建高频事项主题服务。</w:t>
            </w:r>
          </w:p>
        </w:tc>
        <w:tc>
          <w:tcPr>
            <w:tcW w:w="1171" w:type="dxa"/>
            <w:tcBorders>
              <w:top w:val="nil"/>
              <w:left w:val="nil"/>
              <w:bottom w:val="single" w:color="000000" w:sz="8" w:space="0"/>
              <w:right w:val="single" w:color="000000" w:sz="8" w:space="0"/>
            </w:tcBorders>
            <w:noWrap/>
            <w:vAlign w:val="center"/>
          </w:tcPr>
          <w:p w14:paraId="7E7951F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71E93F9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57BF465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1DE535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10AC818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27</w:t>
            </w:r>
          </w:p>
        </w:tc>
        <w:tc>
          <w:tcPr>
            <w:tcW w:w="1995" w:type="dxa"/>
            <w:tcBorders>
              <w:top w:val="nil"/>
              <w:left w:val="nil"/>
              <w:bottom w:val="single" w:color="000000" w:sz="8" w:space="0"/>
              <w:right w:val="single" w:color="000000" w:sz="8" w:space="0"/>
            </w:tcBorders>
            <w:noWrap w:val="0"/>
            <w:vAlign w:val="center"/>
          </w:tcPr>
          <w:p w14:paraId="576D6E1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69F2E46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7E5E0B1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特色服务应用</w:t>
            </w:r>
          </w:p>
        </w:tc>
        <w:tc>
          <w:tcPr>
            <w:tcW w:w="4156" w:type="dxa"/>
            <w:tcBorders>
              <w:top w:val="nil"/>
              <w:left w:val="nil"/>
              <w:bottom w:val="single" w:color="000000" w:sz="8" w:space="0"/>
              <w:right w:val="single" w:color="000000" w:sz="8" w:space="0"/>
            </w:tcBorders>
            <w:noWrap w:val="0"/>
            <w:vAlign w:val="center"/>
          </w:tcPr>
          <w:p w14:paraId="0E6C32F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区域通办服务专题</w:t>
            </w:r>
          </w:p>
        </w:tc>
        <w:tc>
          <w:tcPr>
            <w:tcW w:w="11040" w:type="dxa"/>
            <w:tcBorders>
              <w:top w:val="nil"/>
              <w:left w:val="nil"/>
              <w:bottom w:val="single" w:color="000000" w:sz="8" w:space="0"/>
              <w:right w:val="single" w:color="000000" w:sz="8" w:space="0"/>
            </w:tcBorders>
            <w:noWrap w:val="0"/>
            <w:vAlign w:val="center"/>
          </w:tcPr>
          <w:p w14:paraId="7724252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“区域通办”是指通过在政务服务中心设置同城通办窗口，为办事群众提供不受管辖区域限制的政务服务。</w:t>
            </w:r>
          </w:p>
        </w:tc>
        <w:tc>
          <w:tcPr>
            <w:tcW w:w="1171" w:type="dxa"/>
            <w:tcBorders>
              <w:top w:val="nil"/>
              <w:left w:val="nil"/>
              <w:bottom w:val="single" w:color="000000" w:sz="8" w:space="0"/>
              <w:right w:val="single" w:color="000000" w:sz="8" w:space="0"/>
            </w:tcBorders>
            <w:noWrap/>
            <w:vAlign w:val="center"/>
          </w:tcPr>
          <w:p w14:paraId="2043E39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0BB5DEA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4E712C4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25E11B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70E5F02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28</w:t>
            </w:r>
          </w:p>
        </w:tc>
        <w:tc>
          <w:tcPr>
            <w:tcW w:w="1995" w:type="dxa"/>
            <w:tcBorders>
              <w:top w:val="nil"/>
              <w:left w:val="nil"/>
              <w:bottom w:val="single" w:color="000000" w:sz="8" w:space="0"/>
              <w:right w:val="single" w:color="000000" w:sz="8" w:space="0"/>
            </w:tcBorders>
            <w:noWrap w:val="0"/>
            <w:vAlign w:val="center"/>
          </w:tcPr>
          <w:p w14:paraId="5EB9309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530A8F9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0F30202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证照应用组件</w:t>
            </w:r>
          </w:p>
        </w:tc>
        <w:tc>
          <w:tcPr>
            <w:tcW w:w="4156" w:type="dxa"/>
            <w:tcBorders>
              <w:top w:val="nil"/>
              <w:left w:val="nil"/>
              <w:bottom w:val="single" w:color="000000" w:sz="8" w:space="0"/>
              <w:right w:val="single" w:color="000000" w:sz="8" w:space="0"/>
            </w:tcBorders>
            <w:noWrap w:val="0"/>
            <w:vAlign w:val="center"/>
          </w:tcPr>
          <w:p w14:paraId="09CC171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政务码</w:t>
            </w:r>
          </w:p>
        </w:tc>
        <w:tc>
          <w:tcPr>
            <w:tcW w:w="11040" w:type="dxa"/>
            <w:tcBorders>
              <w:top w:val="nil"/>
              <w:left w:val="nil"/>
              <w:bottom w:val="single" w:color="000000" w:sz="8" w:space="0"/>
              <w:right w:val="single" w:color="000000" w:sz="8" w:space="0"/>
            </w:tcBorders>
            <w:noWrap w:val="0"/>
            <w:vAlign w:val="center"/>
          </w:tcPr>
          <w:p w14:paraId="7EF3072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基于政务服务“一码通办”的应用场景，提供成熟的H5服务，供政务各渠道集成政务码的应用功能</w:t>
            </w:r>
          </w:p>
        </w:tc>
        <w:tc>
          <w:tcPr>
            <w:tcW w:w="1171" w:type="dxa"/>
            <w:tcBorders>
              <w:top w:val="nil"/>
              <w:left w:val="nil"/>
              <w:bottom w:val="single" w:color="000000" w:sz="8" w:space="0"/>
              <w:right w:val="single" w:color="000000" w:sz="8" w:space="0"/>
            </w:tcBorders>
            <w:noWrap/>
            <w:vAlign w:val="center"/>
          </w:tcPr>
          <w:p w14:paraId="15A32CD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2761A1D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77AE99C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2B8F4B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0ED9DAD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29</w:t>
            </w:r>
          </w:p>
        </w:tc>
        <w:tc>
          <w:tcPr>
            <w:tcW w:w="1995" w:type="dxa"/>
            <w:tcBorders>
              <w:top w:val="nil"/>
              <w:left w:val="nil"/>
              <w:bottom w:val="single" w:color="000000" w:sz="8" w:space="0"/>
              <w:right w:val="single" w:color="000000" w:sz="8" w:space="0"/>
            </w:tcBorders>
            <w:noWrap w:val="0"/>
            <w:vAlign w:val="center"/>
          </w:tcPr>
          <w:p w14:paraId="23E3E34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1CCEDC7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7BE900F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证照应用组件</w:t>
            </w:r>
          </w:p>
        </w:tc>
        <w:tc>
          <w:tcPr>
            <w:tcW w:w="4156" w:type="dxa"/>
            <w:tcBorders>
              <w:top w:val="nil"/>
              <w:left w:val="nil"/>
              <w:bottom w:val="single" w:color="000000" w:sz="8" w:space="0"/>
              <w:right w:val="single" w:color="000000" w:sz="8" w:space="0"/>
            </w:tcBorders>
            <w:noWrap w:val="0"/>
            <w:vAlign w:val="center"/>
          </w:tcPr>
          <w:p w14:paraId="3392A32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扫一扫</w:t>
            </w:r>
          </w:p>
        </w:tc>
        <w:tc>
          <w:tcPr>
            <w:tcW w:w="11040" w:type="dxa"/>
            <w:tcBorders>
              <w:top w:val="nil"/>
              <w:left w:val="nil"/>
              <w:bottom w:val="single" w:color="000000" w:sz="8" w:space="0"/>
              <w:right w:val="single" w:color="000000" w:sz="8" w:space="0"/>
            </w:tcBorders>
            <w:noWrap w:val="0"/>
            <w:vAlign w:val="center"/>
          </w:tcPr>
          <w:p w14:paraId="58573A2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对可获取到的二维码进行扫描，根据扫描内容确定展示的功能，如识别办事码、委托码、证照码、政务码等，识别后提供后续的业务操作。</w:t>
            </w:r>
          </w:p>
        </w:tc>
        <w:tc>
          <w:tcPr>
            <w:tcW w:w="1171" w:type="dxa"/>
            <w:tcBorders>
              <w:top w:val="nil"/>
              <w:left w:val="nil"/>
              <w:bottom w:val="single" w:color="000000" w:sz="8" w:space="0"/>
              <w:right w:val="single" w:color="000000" w:sz="8" w:space="0"/>
            </w:tcBorders>
            <w:noWrap/>
            <w:vAlign w:val="center"/>
          </w:tcPr>
          <w:p w14:paraId="21F88DF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617EDDA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46A9742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0B2448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0" w:hRule="atLeast"/>
        </w:trPr>
        <w:tc>
          <w:tcPr>
            <w:tcW w:w="750" w:type="dxa"/>
            <w:tcBorders>
              <w:top w:val="nil"/>
              <w:left w:val="single" w:color="000000" w:sz="8" w:space="0"/>
              <w:bottom w:val="single" w:color="000000" w:sz="8" w:space="0"/>
              <w:right w:val="single" w:color="000000" w:sz="8" w:space="0"/>
            </w:tcBorders>
            <w:noWrap/>
            <w:vAlign w:val="center"/>
          </w:tcPr>
          <w:p w14:paraId="7700A10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30</w:t>
            </w:r>
          </w:p>
        </w:tc>
        <w:tc>
          <w:tcPr>
            <w:tcW w:w="1995" w:type="dxa"/>
            <w:tcBorders>
              <w:top w:val="nil"/>
              <w:left w:val="nil"/>
              <w:bottom w:val="single" w:color="000000" w:sz="8" w:space="0"/>
              <w:right w:val="single" w:color="000000" w:sz="8" w:space="0"/>
            </w:tcBorders>
            <w:noWrap w:val="0"/>
            <w:vAlign w:val="center"/>
          </w:tcPr>
          <w:p w14:paraId="494ADA8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69BF683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0D4D3C3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证照应用组件</w:t>
            </w:r>
          </w:p>
        </w:tc>
        <w:tc>
          <w:tcPr>
            <w:tcW w:w="4156" w:type="dxa"/>
            <w:tcBorders>
              <w:top w:val="nil"/>
              <w:left w:val="nil"/>
              <w:bottom w:val="single" w:color="000000" w:sz="8" w:space="0"/>
              <w:right w:val="single" w:color="000000" w:sz="8" w:space="0"/>
            </w:tcBorders>
            <w:noWrap w:val="0"/>
            <w:vAlign w:val="center"/>
          </w:tcPr>
          <w:p w14:paraId="3958B1A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电子卡包</w:t>
            </w:r>
          </w:p>
        </w:tc>
        <w:tc>
          <w:tcPr>
            <w:tcW w:w="11040" w:type="dxa"/>
            <w:tcBorders>
              <w:top w:val="nil"/>
              <w:left w:val="nil"/>
              <w:bottom w:val="single" w:color="000000" w:sz="8" w:space="0"/>
              <w:right w:val="single" w:color="000000" w:sz="8" w:space="0"/>
            </w:tcBorders>
            <w:noWrap w:val="0"/>
            <w:vAlign w:val="center"/>
          </w:tcPr>
          <w:p w14:paraId="77162CE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管理企业及个人用户的电子证照。提供包括证照信息查看、证照图片查看等功能。</w:t>
            </w:r>
          </w:p>
        </w:tc>
        <w:tc>
          <w:tcPr>
            <w:tcW w:w="1171" w:type="dxa"/>
            <w:tcBorders>
              <w:top w:val="nil"/>
              <w:left w:val="nil"/>
              <w:bottom w:val="single" w:color="000000" w:sz="8" w:space="0"/>
              <w:right w:val="single" w:color="000000" w:sz="8" w:space="0"/>
            </w:tcBorders>
            <w:noWrap/>
            <w:vAlign w:val="center"/>
          </w:tcPr>
          <w:p w14:paraId="75F9B67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4ED128D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4078" w:type="dxa"/>
            <w:tcBorders>
              <w:top w:val="nil"/>
              <w:left w:val="single" w:color="000000" w:sz="8" w:space="0"/>
              <w:bottom w:val="single" w:color="000000" w:sz="8" w:space="0"/>
              <w:right w:val="single" w:color="000000" w:sz="8" w:space="0"/>
            </w:tcBorders>
            <w:noWrap/>
            <w:vAlign w:val="center"/>
          </w:tcPr>
          <w:p w14:paraId="405B87F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2E2C14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750" w:type="dxa"/>
            <w:tcBorders>
              <w:top w:val="nil"/>
              <w:left w:val="single" w:color="000000" w:sz="8" w:space="0"/>
              <w:bottom w:val="single" w:color="000000" w:sz="8" w:space="0"/>
              <w:right w:val="single" w:color="000000" w:sz="8" w:space="0"/>
            </w:tcBorders>
            <w:noWrap/>
            <w:vAlign w:val="center"/>
          </w:tcPr>
          <w:p w14:paraId="2222726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31</w:t>
            </w:r>
          </w:p>
        </w:tc>
        <w:tc>
          <w:tcPr>
            <w:tcW w:w="1995" w:type="dxa"/>
            <w:tcBorders>
              <w:top w:val="nil"/>
              <w:left w:val="nil"/>
              <w:bottom w:val="single" w:color="000000" w:sz="8" w:space="0"/>
              <w:right w:val="single" w:color="000000" w:sz="8" w:space="0"/>
            </w:tcBorders>
            <w:noWrap w:val="0"/>
            <w:vAlign w:val="center"/>
          </w:tcPr>
          <w:p w14:paraId="0E0B133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37C5031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76E3B26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证照应用组件</w:t>
            </w:r>
          </w:p>
        </w:tc>
        <w:tc>
          <w:tcPr>
            <w:tcW w:w="4156" w:type="dxa"/>
            <w:tcBorders>
              <w:top w:val="nil"/>
              <w:left w:val="nil"/>
              <w:bottom w:val="single" w:color="000000" w:sz="8" w:space="0"/>
              <w:right w:val="single" w:color="000000" w:sz="8" w:space="0"/>
            </w:tcBorders>
            <w:noWrap w:val="0"/>
            <w:vAlign w:val="center"/>
          </w:tcPr>
          <w:p w14:paraId="3FCB7ED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委托管理</w:t>
            </w:r>
          </w:p>
        </w:tc>
        <w:tc>
          <w:tcPr>
            <w:tcW w:w="11040" w:type="dxa"/>
            <w:tcBorders>
              <w:top w:val="nil"/>
              <w:left w:val="nil"/>
              <w:bottom w:val="single" w:color="000000" w:sz="8" w:space="0"/>
              <w:right w:val="single" w:color="000000" w:sz="8" w:space="0"/>
            </w:tcBorders>
            <w:noWrap w:val="0"/>
            <w:vAlign w:val="center"/>
          </w:tcPr>
          <w:p w14:paraId="1C532834">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委托办事可以通过此模块进入，进行码的授权，委托其他亲属朋友进行事项的代办。代办人员在收到委托人的授权之后，可以在本模块中进行承办确认，代办人员可以确认代办或拒绝代办。</w:t>
            </w:r>
          </w:p>
        </w:tc>
        <w:tc>
          <w:tcPr>
            <w:tcW w:w="1171" w:type="dxa"/>
            <w:tcBorders>
              <w:top w:val="nil"/>
              <w:left w:val="nil"/>
              <w:bottom w:val="single" w:color="000000" w:sz="8" w:space="0"/>
              <w:right w:val="single" w:color="000000" w:sz="8" w:space="0"/>
            </w:tcBorders>
            <w:noWrap/>
            <w:vAlign w:val="center"/>
          </w:tcPr>
          <w:p w14:paraId="27E1CF3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6EF335D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4078" w:type="dxa"/>
            <w:tcBorders>
              <w:top w:val="nil"/>
              <w:left w:val="single" w:color="000000" w:sz="8" w:space="0"/>
              <w:bottom w:val="single" w:color="000000" w:sz="8" w:space="0"/>
              <w:right w:val="single" w:color="000000" w:sz="8" w:space="0"/>
            </w:tcBorders>
            <w:noWrap/>
            <w:vAlign w:val="center"/>
          </w:tcPr>
          <w:p w14:paraId="551E06D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06160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109E675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32</w:t>
            </w:r>
          </w:p>
        </w:tc>
        <w:tc>
          <w:tcPr>
            <w:tcW w:w="1995" w:type="dxa"/>
            <w:tcBorders>
              <w:top w:val="nil"/>
              <w:left w:val="nil"/>
              <w:bottom w:val="single" w:color="000000" w:sz="8" w:space="0"/>
              <w:right w:val="single" w:color="000000" w:sz="8" w:space="0"/>
            </w:tcBorders>
            <w:noWrap w:val="0"/>
            <w:vAlign w:val="center"/>
          </w:tcPr>
          <w:p w14:paraId="36683E7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2D3C6B2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5FD98D3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证照应用组件</w:t>
            </w:r>
          </w:p>
        </w:tc>
        <w:tc>
          <w:tcPr>
            <w:tcW w:w="4156" w:type="dxa"/>
            <w:tcBorders>
              <w:top w:val="nil"/>
              <w:left w:val="nil"/>
              <w:bottom w:val="single" w:color="000000" w:sz="8" w:space="0"/>
              <w:right w:val="single" w:color="000000" w:sz="8" w:space="0"/>
            </w:tcBorders>
            <w:noWrap w:val="0"/>
            <w:vAlign w:val="center"/>
          </w:tcPr>
          <w:p w14:paraId="62D68DB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异议处理</w:t>
            </w:r>
          </w:p>
        </w:tc>
        <w:tc>
          <w:tcPr>
            <w:tcW w:w="11040" w:type="dxa"/>
            <w:tcBorders>
              <w:top w:val="nil"/>
              <w:left w:val="nil"/>
              <w:bottom w:val="single" w:color="000000" w:sz="8" w:space="0"/>
              <w:right w:val="single" w:color="000000" w:sz="8" w:space="0"/>
            </w:tcBorders>
            <w:noWrap w:val="0"/>
            <w:vAlign w:val="center"/>
          </w:tcPr>
          <w:p w14:paraId="09F20B8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在该模块中可以发起证件包数据的纠错及缺失信息申请，并查看历史记录以及处理结果。</w:t>
            </w:r>
          </w:p>
        </w:tc>
        <w:tc>
          <w:tcPr>
            <w:tcW w:w="1171" w:type="dxa"/>
            <w:tcBorders>
              <w:top w:val="nil"/>
              <w:left w:val="nil"/>
              <w:bottom w:val="single" w:color="000000" w:sz="8" w:space="0"/>
              <w:right w:val="single" w:color="000000" w:sz="8" w:space="0"/>
            </w:tcBorders>
            <w:noWrap/>
            <w:vAlign w:val="center"/>
          </w:tcPr>
          <w:p w14:paraId="028CCD9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27028CD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4078" w:type="dxa"/>
            <w:tcBorders>
              <w:top w:val="nil"/>
              <w:left w:val="single" w:color="000000" w:sz="8" w:space="0"/>
              <w:bottom w:val="single" w:color="000000" w:sz="8" w:space="0"/>
              <w:right w:val="single" w:color="000000" w:sz="8" w:space="0"/>
            </w:tcBorders>
            <w:noWrap/>
            <w:vAlign w:val="center"/>
          </w:tcPr>
          <w:p w14:paraId="77B76DA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3AD540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0" w:hRule="atLeast"/>
        </w:trPr>
        <w:tc>
          <w:tcPr>
            <w:tcW w:w="750" w:type="dxa"/>
            <w:tcBorders>
              <w:top w:val="nil"/>
              <w:left w:val="single" w:color="000000" w:sz="8" w:space="0"/>
              <w:bottom w:val="single" w:color="000000" w:sz="8" w:space="0"/>
              <w:right w:val="single" w:color="000000" w:sz="8" w:space="0"/>
            </w:tcBorders>
            <w:noWrap/>
            <w:vAlign w:val="center"/>
          </w:tcPr>
          <w:p w14:paraId="4062877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33</w:t>
            </w:r>
          </w:p>
        </w:tc>
        <w:tc>
          <w:tcPr>
            <w:tcW w:w="1995" w:type="dxa"/>
            <w:tcBorders>
              <w:top w:val="nil"/>
              <w:left w:val="nil"/>
              <w:bottom w:val="single" w:color="000000" w:sz="8" w:space="0"/>
              <w:right w:val="single" w:color="000000" w:sz="8" w:space="0"/>
            </w:tcBorders>
            <w:noWrap w:val="0"/>
            <w:vAlign w:val="center"/>
          </w:tcPr>
          <w:p w14:paraId="1A67120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099D607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30824AE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证照应用组件</w:t>
            </w:r>
          </w:p>
        </w:tc>
        <w:tc>
          <w:tcPr>
            <w:tcW w:w="4156" w:type="dxa"/>
            <w:tcBorders>
              <w:top w:val="nil"/>
              <w:left w:val="nil"/>
              <w:bottom w:val="single" w:color="000000" w:sz="8" w:space="0"/>
              <w:right w:val="single" w:color="000000" w:sz="8" w:space="0"/>
            </w:tcBorders>
            <w:noWrap w:val="0"/>
            <w:vAlign w:val="center"/>
          </w:tcPr>
          <w:p w14:paraId="6451CA2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证照公示</w:t>
            </w:r>
          </w:p>
        </w:tc>
        <w:tc>
          <w:tcPr>
            <w:tcW w:w="11040" w:type="dxa"/>
            <w:tcBorders>
              <w:top w:val="nil"/>
              <w:left w:val="nil"/>
              <w:bottom w:val="single" w:color="000000" w:sz="8" w:space="0"/>
              <w:right w:val="single" w:color="000000" w:sz="8" w:space="0"/>
            </w:tcBorders>
            <w:noWrap w:val="0"/>
            <w:vAlign w:val="center"/>
          </w:tcPr>
          <w:p w14:paraId="6FF0E40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将可公示的电子证照进行公示，供查询验证。</w:t>
            </w:r>
          </w:p>
        </w:tc>
        <w:tc>
          <w:tcPr>
            <w:tcW w:w="1171" w:type="dxa"/>
            <w:tcBorders>
              <w:top w:val="nil"/>
              <w:left w:val="nil"/>
              <w:bottom w:val="single" w:color="000000" w:sz="8" w:space="0"/>
              <w:right w:val="single" w:color="000000" w:sz="8" w:space="0"/>
            </w:tcBorders>
            <w:noWrap/>
            <w:vAlign w:val="center"/>
          </w:tcPr>
          <w:p w14:paraId="0623914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0189D94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57A1F16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4FE95F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0" w:hRule="atLeast"/>
        </w:trPr>
        <w:tc>
          <w:tcPr>
            <w:tcW w:w="750" w:type="dxa"/>
            <w:tcBorders>
              <w:top w:val="nil"/>
              <w:left w:val="single" w:color="000000" w:sz="8" w:space="0"/>
              <w:bottom w:val="single" w:color="000000" w:sz="8" w:space="0"/>
              <w:right w:val="single" w:color="000000" w:sz="8" w:space="0"/>
            </w:tcBorders>
            <w:noWrap/>
            <w:vAlign w:val="center"/>
          </w:tcPr>
          <w:p w14:paraId="438A758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34</w:t>
            </w:r>
          </w:p>
        </w:tc>
        <w:tc>
          <w:tcPr>
            <w:tcW w:w="1995" w:type="dxa"/>
            <w:tcBorders>
              <w:top w:val="nil"/>
              <w:left w:val="nil"/>
              <w:bottom w:val="single" w:color="000000" w:sz="8" w:space="0"/>
              <w:right w:val="single" w:color="000000" w:sz="8" w:space="0"/>
            </w:tcBorders>
            <w:noWrap w:val="0"/>
            <w:vAlign w:val="center"/>
          </w:tcPr>
          <w:p w14:paraId="73275C9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6982E57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5E165FB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证照应用组件</w:t>
            </w:r>
          </w:p>
        </w:tc>
        <w:tc>
          <w:tcPr>
            <w:tcW w:w="4156" w:type="dxa"/>
            <w:tcBorders>
              <w:top w:val="nil"/>
              <w:left w:val="nil"/>
              <w:bottom w:val="single" w:color="000000" w:sz="8" w:space="0"/>
              <w:right w:val="single" w:color="000000" w:sz="8" w:space="0"/>
            </w:tcBorders>
            <w:noWrap w:val="0"/>
            <w:vAlign w:val="center"/>
          </w:tcPr>
          <w:p w14:paraId="5C665BA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证照存证</w:t>
            </w:r>
          </w:p>
        </w:tc>
        <w:tc>
          <w:tcPr>
            <w:tcW w:w="11040" w:type="dxa"/>
            <w:tcBorders>
              <w:top w:val="nil"/>
              <w:left w:val="nil"/>
              <w:bottom w:val="single" w:color="000000" w:sz="8" w:space="0"/>
              <w:right w:val="single" w:color="000000" w:sz="8" w:space="0"/>
            </w:tcBorders>
            <w:noWrap w:val="0"/>
            <w:vAlign w:val="center"/>
          </w:tcPr>
          <w:p w14:paraId="0F957B9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展示电子证照的全生命周期区块链委托、授权、使用及管理行为存证记录。</w:t>
            </w:r>
          </w:p>
        </w:tc>
        <w:tc>
          <w:tcPr>
            <w:tcW w:w="1171" w:type="dxa"/>
            <w:tcBorders>
              <w:top w:val="nil"/>
              <w:left w:val="nil"/>
              <w:bottom w:val="single" w:color="000000" w:sz="8" w:space="0"/>
              <w:right w:val="single" w:color="000000" w:sz="8" w:space="0"/>
            </w:tcBorders>
            <w:noWrap/>
            <w:vAlign w:val="center"/>
          </w:tcPr>
          <w:p w14:paraId="1221561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1670CF3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272CF20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2FD21A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0" w:hRule="atLeast"/>
        </w:trPr>
        <w:tc>
          <w:tcPr>
            <w:tcW w:w="750" w:type="dxa"/>
            <w:tcBorders>
              <w:top w:val="nil"/>
              <w:left w:val="single" w:color="000000" w:sz="8" w:space="0"/>
              <w:bottom w:val="single" w:color="000000" w:sz="8" w:space="0"/>
              <w:right w:val="single" w:color="000000" w:sz="8" w:space="0"/>
            </w:tcBorders>
            <w:noWrap/>
            <w:vAlign w:val="center"/>
          </w:tcPr>
          <w:p w14:paraId="0D939A4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35</w:t>
            </w:r>
          </w:p>
        </w:tc>
        <w:tc>
          <w:tcPr>
            <w:tcW w:w="1995" w:type="dxa"/>
            <w:tcBorders>
              <w:top w:val="nil"/>
              <w:left w:val="nil"/>
              <w:bottom w:val="single" w:color="000000" w:sz="8" w:space="0"/>
              <w:right w:val="single" w:color="000000" w:sz="8" w:space="0"/>
            </w:tcBorders>
            <w:noWrap w:val="0"/>
            <w:vAlign w:val="center"/>
          </w:tcPr>
          <w:p w14:paraId="112EE28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2926932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74D5D26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证照应用组件</w:t>
            </w:r>
          </w:p>
        </w:tc>
        <w:tc>
          <w:tcPr>
            <w:tcW w:w="4156" w:type="dxa"/>
            <w:tcBorders>
              <w:top w:val="nil"/>
              <w:left w:val="nil"/>
              <w:bottom w:val="single" w:color="000000" w:sz="8" w:space="0"/>
              <w:right w:val="single" w:color="000000" w:sz="8" w:space="0"/>
            </w:tcBorders>
            <w:noWrap w:val="0"/>
            <w:vAlign w:val="center"/>
          </w:tcPr>
          <w:p w14:paraId="7F32325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多证一码</w:t>
            </w:r>
          </w:p>
        </w:tc>
        <w:tc>
          <w:tcPr>
            <w:tcW w:w="11040" w:type="dxa"/>
            <w:tcBorders>
              <w:top w:val="nil"/>
              <w:left w:val="nil"/>
              <w:bottom w:val="single" w:color="000000" w:sz="8" w:space="0"/>
              <w:right w:val="single" w:color="000000" w:sz="8" w:space="0"/>
            </w:tcBorders>
            <w:noWrap w:val="0"/>
            <w:vAlign w:val="center"/>
          </w:tcPr>
          <w:p w14:paraId="351E7A0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将多本证照一次性通过二维码展示亮证。</w:t>
            </w:r>
          </w:p>
        </w:tc>
        <w:tc>
          <w:tcPr>
            <w:tcW w:w="1171" w:type="dxa"/>
            <w:tcBorders>
              <w:top w:val="nil"/>
              <w:left w:val="nil"/>
              <w:bottom w:val="single" w:color="000000" w:sz="8" w:space="0"/>
              <w:right w:val="single" w:color="000000" w:sz="8" w:space="0"/>
            </w:tcBorders>
            <w:noWrap/>
            <w:vAlign w:val="center"/>
          </w:tcPr>
          <w:p w14:paraId="29820C9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28443FD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5BF8391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3870F7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0" w:hRule="atLeast"/>
        </w:trPr>
        <w:tc>
          <w:tcPr>
            <w:tcW w:w="750" w:type="dxa"/>
            <w:tcBorders>
              <w:top w:val="nil"/>
              <w:left w:val="single" w:color="000000" w:sz="8" w:space="0"/>
              <w:bottom w:val="single" w:color="000000" w:sz="8" w:space="0"/>
              <w:right w:val="single" w:color="000000" w:sz="8" w:space="0"/>
            </w:tcBorders>
            <w:noWrap/>
            <w:vAlign w:val="center"/>
          </w:tcPr>
          <w:p w14:paraId="29D4005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36</w:t>
            </w:r>
          </w:p>
        </w:tc>
        <w:tc>
          <w:tcPr>
            <w:tcW w:w="1995" w:type="dxa"/>
            <w:tcBorders>
              <w:top w:val="nil"/>
              <w:left w:val="nil"/>
              <w:bottom w:val="single" w:color="000000" w:sz="8" w:space="0"/>
              <w:right w:val="single" w:color="000000" w:sz="8" w:space="0"/>
            </w:tcBorders>
            <w:noWrap w:val="0"/>
            <w:vAlign w:val="center"/>
          </w:tcPr>
          <w:p w14:paraId="6649CB7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7715E30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7F52902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证照应用组件</w:t>
            </w:r>
          </w:p>
        </w:tc>
        <w:tc>
          <w:tcPr>
            <w:tcW w:w="4156" w:type="dxa"/>
            <w:tcBorders>
              <w:top w:val="nil"/>
              <w:left w:val="nil"/>
              <w:bottom w:val="single" w:color="000000" w:sz="8" w:space="0"/>
              <w:right w:val="single" w:color="000000" w:sz="8" w:space="0"/>
            </w:tcBorders>
            <w:noWrap w:val="0"/>
            <w:vAlign w:val="center"/>
          </w:tcPr>
          <w:p w14:paraId="49A79F2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服务接口</w:t>
            </w:r>
          </w:p>
        </w:tc>
        <w:tc>
          <w:tcPr>
            <w:tcW w:w="11040" w:type="dxa"/>
            <w:tcBorders>
              <w:top w:val="nil"/>
              <w:left w:val="nil"/>
              <w:bottom w:val="single" w:color="000000" w:sz="8" w:space="0"/>
              <w:right w:val="single" w:color="000000" w:sz="8" w:space="0"/>
            </w:tcBorders>
            <w:noWrap w:val="0"/>
            <w:vAlign w:val="center"/>
          </w:tcPr>
          <w:p w14:paraId="56D4C1D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对初始化服务、用证授权服务进行对接。</w:t>
            </w:r>
          </w:p>
        </w:tc>
        <w:tc>
          <w:tcPr>
            <w:tcW w:w="1171" w:type="dxa"/>
            <w:tcBorders>
              <w:top w:val="nil"/>
              <w:left w:val="nil"/>
              <w:bottom w:val="single" w:color="000000" w:sz="8" w:space="0"/>
              <w:right w:val="single" w:color="000000" w:sz="8" w:space="0"/>
            </w:tcBorders>
            <w:noWrap/>
            <w:vAlign w:val="center"/>
          </w:tcPr>
          <w:p w14:paraId="73F5F85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214C9F7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780871E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32A84B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7BDC30F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37</w:t>
            </w:r>
          </w:p>
        </w:tc>
        <w:tc>
          <w:tcPr>
            <w:tcW w:w="1995" w:type="dxa"/>
            <w:tcBorders>
              <w:top w:val="nil"/>
              <w:left w:val="nil"/>
              <w:bottom w:val="single" w:color="000000" w:sz="8" w:space="0"/>
              <w:right w:val="single" w:color="000000" w:sz="8" w:space="0"/>
            </w:tcBorders>
            <w:noWrap w:val="0"/>
            <w:vAlign w:val="center"/>
          </w:tcPr>
          <w:p w14:paraId="1A7517A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0418834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57A4B6F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证照应用管理</w:t>
            </w:r>
          </w:p>
        </w:tc>
        <w:tc>
          <w:tcPr>
            <w:tcW w:w="4156" w:type="dxa"/>
            <w:tcBorders>
              <w:top w:val="nil"/>
              <w:left w:val="nil"/>
              <w:bottom w:val="single" w:color="000000" w:sz="8" w:space="0"/>
              <w:right w:val="single" w:color="000000" w:sz="8" w:space="0"/>
            </w:tcBorders>
            <w:noWrap w:val="0"/>
            <w:vAlign w:val="center"/>
          </w:tcPr>
          <w:p w14:paraId="0E58C64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业务接入</w:t>
            </w:r>
          </w:p>
        </w:tc>
        <w:tc>
          <w:tcPr>
            <w:tcW w:w="11040" w:type="dxa"/>
            <w:tcBorders>
              <w:top w:val="nil"/>
              <w:left w:val="nil"/>
              <w:bottom w:val="single" w:color="000000" w:sz="8" w:space="0"/>
              <w:right w:val="single" w:color="000000" w:sz="8" w:space="0"/>
            </w:tcBorders>
            <w:noWrap w:val="0"/>
            <w:vAlign w:val="center"/>
          </w:tcPr>
          <w:p w14:paraId="2B563E8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提供业务接入服务能力，通过对业务源服务信息的配置，实现异构、跨区域证照信息的快速应用。</w:t>
            </w:r>
          </w:p>
        </w:tc>
        <w:tc>
          <w:tcPr>
            <w:tcW w:w="1171" w:type="dxa"/>
            <w:tcBorders>
              <w:top w:val="nil"/>
              <w:left w:val="nil"/>
              <w:bottom w:val="single" w:color="000000" w:sz="8" w:space="0"/>
              <w:right w:val="single" w:color="000000" w:sz="8" w:space="0"/>
            </w:tcBorders>
            <w:noWrap/>
            <w:vAlign w:val="center"/>
          </w:tcPr>
          <w:p w14:paraId="713BCB6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2CEAB67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59D6143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2E9F3B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1F61DA6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38</w:t>
            </w:r>
          </w:p>
        </w:tc>
        <w:tc>
          <w:tcPr>
            <w:tcW w:w="1995" w:type="dxa"/>
            <w:tcBorders>
              <w:top w:val="nil"/>
              <w:left w:val="nil"/>
              <w:bottom w:val="single" w:color="000000" w:sz="8" w:space="0"/>
              <w:right w:val="single" w:color="000000" w:sz="8" w:space="0"/>
            </w:tcBorders>
            <w:noWrap w:val="0"/>
            <w:vAlign w:val="center"/>
          </w:tcPr>
          <w:p w14:paraId="398BE9B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3409215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78EE73F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证照应用管理</w:t>
            </w:r>
          </w:p>
        </w:tc>
        <w:tc>
          <w:tcPr>
            <w:tcW w:w="4156" w:type="dxa"/>
            <w:tcBorders>
              <w:top w:val="nil"/>
              <w:left w:val="nil"/>
              <w:bottom w:val="single" w:color="000000" w:sz="8" w:space="0"/>
              <w:right w:val="single" w:color="000000" w:sz="8" w:space="0"/>
            </w:tcBorders>
            <w:noWrap w:val="0"/>
            <w:vAlign w:val="center"/>
          </w:tcPr>
          <w:p w14:paraId="1F768E1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区域运营</w:t>
            </w:r>
          </w:p>
        </w:tc>
        <w:tc>
          <w:tcPr>
            <w:tcW w:w="11040" w:type="dxa"/>
            <w:tcBorders>
              <w:top w:val="nil"/>
              <w:left w:val="nil"/>
              <w:bottom w:val="single" w:color="000000" w:sz="8" w:space="0"/>
              <w:right w:val="single" w:color="000000" w:sz="8" w:space="0"/>
            </w:tcBorders>
            <w:noWrap w:val="0"/>
            <w:vAlign w:val="center"/>
          </w:tcPr>
          <w:p w14:paraId="65CCA693">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为各区域提供活动配置功能，包括活动图片、活动名称、上线、下线时间等。同时支持定时上线的配置。</w:t>
            </w:r>
          </w:p>
        </w:tc>
        <w:tc>
          <w:tcPr>
            <w:tcW w:w="1171" w:type="dxa"/>
            <w:tcBorders>
              <w:top w:val="nil"/>
              <w:left w:val="nil"/>
              <w:bottom w:val="single" w:color="000000" w:sz="8" w:space="0"/>
              <w:right w:val="single" w:color="000000" w:sz="8" w:space="0"/>
            </w:tcBorders>
            <w:noWrap/>
            <w:vAlign w:val="center"/>
          </w:tcPr>
          <w:p w14:paraId="6236D12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4D6A4C1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176E458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755FA8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7B282CB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39</w:t>
            </w:r>
          </w:p>
        </w:tc>
        <w:tc>
          <w:tcPr>
            <w:tcW w:w="1995" w:type="dxa"/>
            <w:tcBorders>
              <w:top w:val="nil"/>
              <w:left w:val="nil"/>
              <w:bottom w:val="single" w:color="000000" w:sz="8" w:space="0"/>
              <w:right w:val="single" w:color="000000" w:sz="8" w:space="0"/>
            </w:tcBorders>
            <w:noWrap w:val="0"/>
            <w:vAlign w:val="center"/>
          </w:tcPr>
          <w:p w14:paraId="37EFBCD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65F1B97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44BBF9E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证照应用管理</w:t>
            </w:r>
          </w:p>
        </w:tc>
        <w:tc>
          <w:tcPr>
            <w:tcW w:w="4156" w:type="dxa"/>
            <w:tcBorders>
              <w:top w:val="nil"/>
              <w:left w:val="nil"/>
              <w:bottom w:val="single" w:color="000000" w:sz="8" w:space="0"/>
              <w:right w:val="single" w:color="000000" w:sz="8" w:space="0"/>
            </w:tcBorders>
            <w:noWrap w:val="0"/>
            <w:vAlign w:val="center"/>
          </w:tcPr>
          <w:p w14:paraId="582C270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证件类型管理</w:t>
            </w:r>
          </w:p>
        </w:tc>
        <w:tc>
          <w:tcPr>
            <w:tcW w:w="11040" w:type="dxa"/>
            <w:tcBorders>
              <w:top w:val="nil"/>
              <w:left w:val="nil"/>
              <w:bottom w:val="single" w:color="000000" w:sz="8" w:space="0"/>
              <w:right w:val="single" w:color="000000" w:sz="8" w:space="0"/>
            </w:tcBorders>
            <w:noWrap w:val="0"/>
            <w:vAlign w:val="center"/>
          </w:tcPr>
          <w:p w14:paraId="0EF2841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为不同证照库源的电子证照类型进行统一的关联，形成业务规则统一的电子证照管理机制，便于应用方统一识别。</w:t>
            </w:r>
          </w:p>
        </w:tc>
        <w:tc>
          <w:tcPr>
            <w:tcW w:w="1171" w:type="dxa"/>
            <w:tcBorders>
              <w:top w:val="nil"/>
              <w:left w:val="nil"/>
              <w:bottom w:val="single" w:color="000000" w:sz="8" w:space="0"/>
              <w:right w:val="single" w:color="000000" w:sz="8" w:space="0"/>
            </w:tcBorders>
            <w:noWrap/>
            <w:vAlign w:val="center"/>
          </w:tcPr>
          <w:p w14:paraId="434EFB1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796BCE3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633B0B1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35E81B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0" w:hRule="atLeast"/>
        </w:trPr>
        <w:tc>
          <w:tcPr>
            <w:tcW w:w="750" w:type="dxa"/>
            <w:tcBorders>
              <w:top w:val="nil"/>
              <w:left w:val="single" w:color="000000" w:sz="8" w:space="0"/>
              <w:bottom w:val="single" w:color="000000" w:sz="8" w:space="0"/>
              <w:right w:val="single" w:color="000000" w:sz="8" w:space="0"/>
            </w:tcBorders>
            <w:noWrap/>
            <w:vAlign w:val="center"/>
          </w:tcPr>
          <w:p w14:paraId="6D9F3C9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40</w:t>
            </w:r>
          </w:p>
        </w:tc>
        <w:tc>
          <w:tcPr>
            <w:tcW w:w="1995" w:type="dxa"/>
            <w:tcBorders>
              <w:top w:val="nil"/>
              <w:left w:val="nil"/>
              <w:bottom w:val="single" w:color="000000" w:sz="8" w:space="0"/>
              <w:right w:val="single" w:color="000000" w:sz="8" w:space="0"/>
            </w:tcBorders>
            <w:noWrap w:val="0"/>
            <w:vAlign w:val="center"/>
          </w:tcPr>
          <w:p w14:paraId="67955BB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279461F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49DFDD0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证照应用管理</w:t>
            </w:r>
          </w:p>
        </w:tc>
        <w:tc>
          <w:tcPr>
            <w:tcW w:w="4156" w:type="dxa"/>
            <w:tcBorders>
              <w:top w:val="nil"/>
              <w:left w:val="nil"/>
              <w:bottom w:val="single" w:color="000000" w:sz="8" w:space="0"/>
              <w:right w:val="single" w:color="000000" w:sz="8" w:space="0"/>
            </w:tcBorders>
            <w:noWrap w:val="0"/>
            <w:vAlign w:val="center"/>
          </w:tcPr>
          <w:p w14:paraId="61F64B9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证照赋码</w:t>
            </w:r>
          </w:p>
        </w:tc>
        <w:tc>
          <w:tcPr>
            <w:tcW w:w="11040" w:type="dxa"/>
            <w:tcBorders>
              <w:top w:val="nil"/>
              <w:left w:val="nil"/>
              <w:bottom w:val="single" w:color="000000" w:sz="8" w:space="0"/>
              <w:right w:val="single" w:color="000000" w:sz="8" w:space="0"/>
            </w:tcBorders>
            <w:noWrap w:val="0"/>
            <w:vAlign w:val="center"/>
          </w:tcPr>
          <w:p w14:paraId="0844C18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定义不同场景的码规范，实现多端的统一扫码和解码。</w:t>
            </w:r>
          </w:p>
        </w:tc>
        <w:tc>
          <w:tcPr>
            <w:tcW w:w="1171" w:type="dxa"/>
            <w:tcBorders>
              <w:top w:val="nil"/>
              <w:left w:val="nil"/>
              <w:bottom w:val="single" w:color="000000" w:sz="8" w:space="0"/>
              <w:right w:val="single" w:color="000000" w:sz="8" w:space="0"/>
            </w:tcBorders>
            <w:noWrap/>
            <w:vAlign w:val="center"/>
          </w:tcPr>
          <w:p w14:paraId="127052C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546B206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4078" w:type="dxa"/>
            <w:tcBorders>
              <w:top w:val="nil"/>
              <w:left w:val="single" w:color="000000" w:sz="8" w:space="0"/>
              <w:bottom w:val="single" w:color="000000" w:sz="8" w:space="0"/>
              <w:right w:val="single" w:color="000000" w:sz="8" w:space="0"/>
            </w:tcBorders>
            <w:noWrap/>
            <w:vAlign w:val="center"/>
          </w:tcPr>
          <w:p w14:paraId="44EFDB5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3D9690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66ED615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41</w:t>
            </w:r>
          </w:p>
        </w:tc>
        <w:tc>
          <w:tcPr>
            <w:tcW w:w="1995" w:type="dxa"/>
            <w:tcBorders>
              <w:top w:val="nil"/>
              <w:left w:val="nil"/>
              <w:bottom w:val="single" w:color="000000" w:sz="8" w:space="0"/>
              <w:right w:val="single" w:color="000000" w:sz="8" w:space="0"/>
            </w:tcBorders>
            <w:noWrap w:val="0"/>
            <w:vAlign w:val="center"/>
          </w:tcPr>
          <w:p w14:paraId="5E409F4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73A6468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26696B3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“一件事一次办”梳理</w:t>
            </w:r>
          </w:p>
        </w:tc>
        <w:tc>
          <w:tcPr>
            <w:tcW w:w="4156" w:type="dxa"/>
            <w:tcBorders>
              <w:top w:val="nil"/>
              <w:left w:val="nil"/>
              <w:bottom w:val="single" w:color="000000" w:sz="8" w:space="0"/>
              <w:right w:val="single" w:color="000000" w:sz="8" w:space="0"/>
            </w:tcBorders>
            <w:noWrap w:val="0"/>
            <w:vAlign w:val="center"/>
          </w:tcPr>
          <w:p w14:paraId="2A8728C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材料及情形梳理</w:t>
            </w:r>
          </w:p>
        </w:tc>
        <w:tc>
          <w:tcPr>
            <w:tcW w:w="11040" w:type="dxa"/>
            <w:tcBorders>
              <w:top w:val="nil"/>
              <w:left w:val="nil"/>
              <w:bottom w:val="single" w:color="000000" w:sz="8" w:space="0"/>
              <w:right w:val="single" w:color="000000" w:sz="8" w:space="0"/>
            </w:tcBorders>
            <w:noWrap w:val="0"/>
            <w:vAlign w:val="center"/>
          </w:tcPr>
          <w:p w14:paraId="2C9D5FE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梳理影响申报材料的条件选项，根据条件选项梳理申请人申请时提示的文字和选项，并对不同选项带来的材料变化进行标准化改造，对每一个条件选项进行编码。</w:t>
            </w:r>
          </w:p>
        </w:tc>
        <w:tc>
          <w:tcPr>
            <w:tcW w:w="1171" w:type="dxa"/>
            <w:tcBorders>
              <w:top w:val="nil"/>
              <w:left w:val="nil"/>
              <w:bottom w:val="single" w:color="000000" w:sz="8" w:space="0"/>
              <w:right w:val="single" w:color="000000" w:sz="8" w:space="0"/>
            </w:tcBorders>
            <w:noWrap/>
            <w:vAlign w:val="center"/>
          </w:tcPr>
          <w:p w14:paraId="76B2E19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27F20D0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636C487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371273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473EB15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42</w:t>
            </w:r>
          </w:p>
        </w:tc>
        <w:tc>
          <w:tcPr>
            <w:tcW w:w="1995" w:type="dxa"/>
            <w:tcBorders>
              <w:top w:val="nil"/>
              <w:left w:val="nil"/>
              <w:bottom w:val="single" w:color="000000" w:sz="8" w:space="0"/>
              <w:right w:val="single" w:color="000000" w:sz="8" w:space="0"/>
            </w:tcBorders>
            <w:noWrap w:val="0"/>
            <w:vAlign w:val="center"/>
          </w:tcPr>
          <w:p w14:paraId="3FB7E65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65422EE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4EF8041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“一件事一次办”梳理</w:t>
            </w:r>
          </w:p>
        </w:tc>
        <w:tc>
          <w:tcPr>
            <w:tcW w:w="4156" w:type="dxa"/>
            <w:tcBorders>
              <w:top w:val="nil"/>
              <w:left w:val="nil"/>
              <w:bottom w:val="single" w:color="000000" w:sz="8" w:space="0"/>
              <w:right w:val="single" w:color="000000" w:sz="8" w:space="0"/>
            </w:tcBorders>
            <w:noWrap w:val="0"/>
            <w:vAlign w:val="center"/>
          </w:tcPr>
          <w:p w14:paraId="73F24CF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审查要点梳理</w:t>
            </w:r>
          </w:p>
        </w:tc>
        <w:tc>
          <w:tcPr>
            <w:tcW w:w="11040" w:type="dxa"/>
            <w:tcBorders>
              <w:top w:val="nil"/>
              <w:left w:val="nil"/>
              <w:bottom w:val="single" w:color="000000" w:sz="8" w:space="0"/>
              <w:right w:val="single" w:color="000000" w:sz="8" w:space="0"/>
            </w:tcBorders>
            <w:noWrap w:val="0"/>
            <w:vAlign w:val="center"/>
          </w:tcPr>
          <w:p w14:paraId="2D6EFE7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审查要点的梳理可以方便申办人准备符合要求的申请材料，同时也让窗口实现标准化的受理审查，降低窗口审查难度。</w:t>
            </w:r>
          </w:p>
        </w:tc>
        <w:tc>
          <w:tcPr>
            <w:tcW w:w="1171" w:type="dxa"/>
            <w:tcBorders>
              <w:top w:val="nil"/>
              <w:left w:val="nil"/>
              <w:bottom w:val="single" w:color="000000" w:sz="8" w:space="0"/>
              <w:right w:val="single" w:color="000000" w:sz="8" w:space="0"/>
            </w:tcBorders>
            <w:noWrap/>
            <w:vAlign w:val="center"/>
          </w:tcPr>
          <w:p w14:paraId="3988915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7EDD8D1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7B7F0C4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7F90BE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4730006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43</w:t>
            </w:r>
          </w:p>
        </w:tc>
        <w:tc>
          <w:tcPr>
            <w:tcW w:w="1995" w:type="dxa"/>
            <w:tcBorders>
              <w:top w:val="nil"/>
              <w:left w:val="nil"/>
              <w:bottom w:val="single" w:color="000000" w:sz="8" w:space="0"/>
              <w:right w:val="single" w:color="000000" w:sz="8" w:space="0"/>
            </w:tcBorders>
            <w:noWrap w:val="0"/>
            <w:vAlign w:val="center"/>
          </w:tcPr>
          <w:p w14:paraId="459B6A8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2AA9DA6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5F22786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“一件事一次办”梳理</w:t>
            </w:r>
          </w:p>
        </w:tc>
        <w:tc>
          <w:tcPr>
            <w:tcW w:w="4156" w:type="dxa"/>
            <w:tcBorders>
              <w:top w:val="nil"/>
              <w:left w:val="nil"/>
              <w:bottom w:val="single" w:color="000000" w:sz="8" w:space="0"/>
              <w:right w:val="single" w:color="000000" w:sz="8" w:space="0"/>
            </w:tcBorders>
            <w:noWrap w:val="0"/>
            <w:vAlign w:val="center"/>
          </w:tcPr>
          <w:p w14:paraId="32140C4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申报表单梳理</w:t>
            </w:r>
          </w:p>
        </w:tc>
        <w:tc>
          <w:tcPr>
            <w:tcW w:w="11040" w:type="dxa"/>
            <w:tcBorders>
              <w:top w:val="nil"/>
              <w:left w:val="nil"/>
              <w:bottom w:val="single" w:color="000000" w:sz="8" w:space="0"/>
              <w:right w:val="single" w:color="000000" w:sz="8" w:space="0"/>
            </w:tcBorders>
            <w:noWrap w:val="0"/>
            <w:vAlign w:val="center"/>
          </w:tcPr>
          <w:p w14:paraId="792651A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对政务服务事项涉及业务运行的自建系统进行逐一梳理，将自建业务系统的申报数据要素收集整理，实现申报表单结构化。</w:t>
            </w:r>
          </w:p>
        </w:tc>
        <w:tc>
          <w:tcPr>
            <w:tcW w:w="1171" w:type="dxa"/>
            <w:tcBorders>
              <w:top w:val="nil"/>
              <w:left w:val="nil"/>
              <w:bottom w:val="single" w:color="000000" w:sz="8" w:space="0"/>
              <w:right w:val="single" w:color="000000" w:sz="8" w:space="0"/>
            </w:tcBorders>
            <w:noWrap/>
            <w:vAlign w:val="center"/>
          </w:tcPr>
          <w:p w14:paraId="13876E8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3A9B8D8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0605700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09E9F2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75574DD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44</w:t>
            </w:r>
          </w:p>
        </w:tc>
        <w:tc>
          <w:tcPr>
            <w:tcW w:w="1995" w:type="dxa"/>
            <w:tcBorders>
              <w:top w:val="nil"/>
              <w:left w:val="nil"/>
              <w:bottom w:val="single" w:color="000000" w:sz="8" w:space="0"/>
              <w:right w:val="single" w:color="000000" w:sz="8" w:space="0"/>
            </w:tcBorders>
            <w:noWrap w:val="0"/>
            <w:vAlign w:val="center"/>
          </w:tcPr>
          <w:p w14:paraId="2FD6E71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3C77667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5542E2D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“一件事一次办”梳理</w:t>
            </w:r>
          </w:p>
        </w:tc>
        <w:tc>
          <w:tcPr>
            <w:tcW w:w="4156" w:type="dxa"/>
            <w:tcBorders>
              <w:top w:val="nil"/>
              <w:left w:val="nil"/>
              <w:bottom w:val="single" w:color="000000" w:sz="8" w:space="0"/>
              <w:right w:val="single" w:color="000000" w:sz="8" w:space="0"/>
            </w:tcBorders>
            <w:noWrap w:val="0"/>
            <w:vAlign w:val="center"/>
          </w:tcPr>
          <w:p w14:paraId="37F63C5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信息系统与数据资源梳理</w:t>
            </w:r>
          </w:p>
        </w:tc>
        <w:tc>
          <w:tcPr>
            <w:tcW w:w="11040" w:type="dxa"/>
            <w:tcBorders>
              <w:top w:val="nil"/>
              <w:left w:val="nil"/>
              <w:bottom w:val="single" w:color="000000" w:sz="8" w:space="0"/>
              <w:right w:val="single" w:color="000000" w:sz="8" w:space="0"/>
            </w:tcBorders>
            <w:noWrap w:val="0"/>
            <w:vAlign w:val="center"/>
          </w:tcPr>
          <w:p w14:paraId="2737DA6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进行梳理“一件事”办件全流程所涉及信息系统情况以及对应信息系统提供的数据资源。</w:t>
            </w:r>
          </w:p>
        </w:tc>
        <w:tc>
          <w:tcPr>
            <w:tcW w:w="1171" w:type="dxa"/>
            <w:tcBorders>
              <w:top w:val="nil"/>
              <w:left w:val="nil"/>
              <w:bottom w:val="single" w:color="000000" w:sz="8" w:space="0"/>
              <w:right w:val="single" w:color="000000" w:sz="8" w:space="0"/>
            </w:tcBorders>
            <w:noWrap/>
            <w:vAlign w:val="center"/>
          </w:tcPr>
          <w:p w14:paraId="4F39274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7D97513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63DB73A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0FA782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0" w:hRule="atLeast"/>
        </w:trPr>
        <w:tc>
          <w:tcPr>
            <w:tcW w:w="750" w:type="dxa"/>
            <w:tcBorders>
              <w:top w:val="nil"/>
              <w:left w:val="single" w:color="000000" w:sz="8" w:space="0"/>
              <w:bottom w:val="single" w:color="000000" w:sz="8" w:space="0"/>
              <w:right w:val="single" w:color="000000" w:sz="8" w:space="0"/>
            </w:tcBorders>
            <w:noWrap/>
            <w:vAlign w:val="center"/>
          </w:tcPr>
          <w:p w14:paraId="2D2BE1D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45</w:t>
            </w:r>
          </w:p>
        </w:tc>
        <w:tc>
          <w:tcPr>
            <w:tcW w:w="1995" w:type="dxa"/>
            <w:tcBorders>
              <w:top w:val="nil"/>
              <w:left w:val="nil"/>
              <w:bottom w:val="single" w:color="000000" w:sz="8" w:space="0"/>
              <w:right w:val="single" w:color="000000" w:sz="8" w:space="0"/>
            </w:tcBorders>
            <w:noWrap w:val="0"/>
            <w:vAlign w:val="center"/>
          </w:tcPr>
          <w:p w14:paraId="44A2E7A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0A19D88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2D43C9F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“一件事一次办”梳理</w:t>
            </w:r>
          </w:p>
        </w:tc>
        <w:tc>
          <w:tcPr>
            <w:tcW w:w="4156" w:type="dxa"/>
            <w:tcBorders>
              <w:top w:val="nil"/>
              <w:left w:val="nil"/>
              <w:bottom w:val="single" w:color="000000" w:sz="8" w:space="0"/>
              <w:right w:val="single" w:color="000000" w:sz="8" w:space="0"/>
            </w:tcBorders>
            <w:noWrap w:val="0"/>
            <w:vAlign w:val="center"/>
          </w:tcPr>
          <w:p w14:paraId="76B9BDA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审批结果梳理</w:t>
            </w:r>
          </w:p>
        </w:tc>
        <w:tc>
          <w:tcPr>
            <w:tcW w:w="11040" w:type="dxa"/>
            <w:tcBorders>
              <w:top w:val="nil"/>
              <w:left w:val="nil"/>
              <w:bottom w:val="single" w:color="000000" w:sz="8" w:space="0"/>
              <w:right w:val="single" w:color="000000" w:sz="8" w:space="0"/>
            </w:tcBorders>
            <w:noWrap w:val="0"/>
            <w:vAlign w:val="center"/>
          </w:tcPr>
          <w:p w14:paraId="2E135336">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对审批结果进行梳理，主要梳理政务服务事项批准结果中的证照、批文等结果信息。</w:t>
            </w:r>
          </w:p>
        </w:tc>
        <w:tc>
          <w:tcPr>
            <w:tcW w:w="1171" w:type="dxa"/>
            <w:tcBorders>
              <w:top w:val="nil"/>
              <w:left w:val="nil"/>
              <w:bottom w:val="single" w:color="000000" w:sz="8" w:space="0"/>
              <w:right w:val="single" w:color="000000" w:sz="8" w:space="0"/>
            </w:tcBorders>
            <w:noWrap/>
            <w:vAlign w:val="center"/>
          </w:tcPr>
          <w:p w14:paraId="0B178A3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4B9E41A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75DFDDE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14D3B7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3" w:hRule="atLeast"/>
        </w:trPr>
        <w:tc>
          <w:tcPr>
            <w:tcW w:w="750" w:type="dxa"/>
            <w:tcBorders>
              <w:top w:val="nil"/>
              <w:left w:val="single" w:color="000000" w:sz="8" w:space="0"/>
              <w:bottom w:val="single" w:color="000000" w:sz="8" w:space="0"/>
              <w:right w:val="single" w:color="000000" w:sz="8" w:space="0"/>
            </w:tcBorders>
            <w:noWrap/>
            <w:vAlign w:val="center"/>
          </w:tcPr>
          <w:p w14:paraId="57A9263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46</w:t>
            </w:r>
          </w:p>
        </w:tc>
        <w:tc>
          <w:tcPr>
            <w:tcW w:w="1995" w:type="dxa"/>
            <w:tcBorders>
              <w:top w:val="nil"/>
              <w:left w:val="nil"/>
              <w:bottom w:val="single" w:color="000000" w:sz="8" w:space="0"/>
              <w:right w:val="single" w:color="000000" w:sz="8" w:space="0"/>
            </w:tcBorders>
            <w:noWrap w:val="0"/>
            <w:vAlign w:val="center"/>
          </w:tcPr>
          <w:p w14:paraId="5681A9A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7E066D7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31481A4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“一件事一次办”梳理</w:t>
            </w:r>
          </w:p>
        </w:tc>
        <w:tc>
          <w:tcPr>
            <w:tcW w:w="4156" w:type="dxa"/>
            <w:tcBorders>
              <w:top w:val="nil"/>
              <w:left w:val="nil"/>
              <w:bottom w:val="single" w:color="000000" w:sz="8" w:space="0"/>
              <w:right w:val="single" w:color="000000" w:sz="8" w:space="0"/>
            </w:tcBorders>
            <w:noWrap w:val="0"/>
            <w:vAlign w:val="center"/>
          </w:tcPr>
          <w:p w14:paraId="363612E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套餐主题梳理</w:t>
            </w:r>
          </w:p>
        </w:tc>
        <w:tc>
          <w:tcPr>
            <w:tcW w:w="11040" w:type="dxa"/>
            <w:tcBorders>
              <w:top w:val="nil"/>
              <w:left w:val="nil"/>
              <w:bottom w:val="single" w:color="000000" w:sz="8" w:space="0"/>
              <w:right w:val="single" w:color="000000" w:sz="8" w:space="0"/>
            </w:tcBorders>
            <w:noWrap w:val="0"/>
            <w:vAlign w:val="center"/>
          </w:tcPr>
          <w:p w14:paraId="7528818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进行服务主题梳理，以用户视角为中心，以办“一件事”的角度，将多个政务服务事项进行优化整合，拟定服务主题，将政务服务事项与场景服务主题建立关联映射关联。</w:t>
            </w:r>
          </w:p>
        </w:tc>
        <w:tc>
          <w:tcPr>
            <w:tcW w:w="1171" w:type="dxa"/>
            <w:tcBorders>
              <w:top w:val="nil"/>
              <w:left w:val="nil"/>
              <w:bottom w:val="single" w:color="000000" w:sz="8" w:space="0"/>
              <w:right w:val="single" w:color="000000" w:sz="8" w:space="0"/>
            </w:tcBorders>
            <w:noWrap/>
            <w:vAlign w:val="center"/>
          </w:tcPr>
          <w:p w14:paraId="58897E5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0435A66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6164E33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0944AC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4" w:hRule="atLeast"/>
        </w:trPr>
        <w:tc>
          <w:tcPr>
            <w:tcW w:w="750" w:type="dxa"/>
            <w:tcBorders>
              <w:top w:val="nil"/>
              <w:left w:val="single" w:color="000000" w:sz="8" w:space="0"/>
              <w:bottom w:val="single" w:color="000000" w:sz="8" w:space="0"/>
              <w:right w:val="single" w:color="000000" w:sz="8" w:space="0"/>
            </w:tcBorders>
            <w:noWrap/>
            <w:vAlign w:val="center"/>
          </w:tcPr>
          <w:p w14:paraId="129CD86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47</w:t>
            </w:r>
          </w:p>
        </w:tc>
        <w:tc>
          <w:tcPr>
            <w:tcW w:w="1995" w:type="dxa"/>
            <w:tcBorders>
              <w:top w:val="nil"/>
              <w:left w:val="nil"/>
              <w:bottom w:val="single" w:color="000000" w:sz="8" w:space="0"/>
              <w:right w:val="single" w:color="000000" w:sz="8" w:space="0"/>
            </w:tcBorders>
            <w:noWrap w:val="0"/>
            <w:vAlign w:val="center"/>
          </w:tcPr>
          <w:p w14:paraId="3CEE1DD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512583E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7199CAE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“一件事一次办”梳理</w:t>
            </w:r>
          </w:p>
        </w:tc>
        <w:tc>
          <w:tcPr>
            <w:tcW w:w="4156" w:type="dxa"/>
            <w:tcBorders>
              <w:top w:val="nil"/>
              <w:left w:val="nil"/>
              <w:bottom w:val="single" w:color="000000" w:sz="8" w:space="0"/>
              <w:right w:val="single" w:color="000000" w:sz="8" w:space="0"/>
            </w:tcBorders>
            <w:noWrap w:val="0"/>
            <w:vAlign w:val="center"/>
          </w:tcPr>
          <w:p w14:paraId="068280B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套餐流程梳理</w:t>
            </w:r>
          </w:p>
        </w:tc>
        <w:tc>
          <w:tcPr>
            <w:tcW w:w="11040" w:type="dxa"/>
            <w:tcBorders>
              <w:top w:val="nil"/>
              <w:left w:val="nil"/>
              <w:bottom w:val="single" w:color="000000" w:sz="8" w:space="0"/>
              <w:right w:val="single" w:color="000000" w:sz="8" w:space="0"/>
            </w:tcBorders>
            <w:noWrap w:val="0"/>
            <w:vAlign w:val="center"/>
          </w:tcPr>
          <w:p w14:paraId="67C71CE6">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根据所选择的套餐产品线，梳理该产品线所有事项及办理流程，后续可支持以图形化等直观的方式展示出事项办理流程（步骤）。从头到尾可以一步步告知用户该如何网上办理该主题业务，为企业和群众提供“人性化、智能化、傻瓜式”的服务体验。</w:t>
            </w:r>
          </w:p>
        </w:tc>
        <w:tc>
          <w:tcPr>
            <w:tcW w:w="1171" w:type="dxa"/>
            <w:tcBorders>
              <w:top w:val="nil"/>
              <w:left w:val="nil"/>
              <w:bottom w:val="single" w:color="000000" w:sz="8" w:space="0"/>
              <w:right w:val="single" w:color="000000" w:sz="8" w:space="0"/>
            </w:tcBorders>
            <w:noWrap/>
            <w:vAlign w:val="center"/>
          </w:tcPr>
          <w:p w14:paraId="6FABA2D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3FCA87D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058D79E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638412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4" w:hRule="atLeast"/>
        </w:trPr>
        <w:tc>
          <w:tcPr>
            <w:tcW w:w="750" w:type="dxa"/>
            <w:tcBorders>
              <w:top w:val="nil"/>
              <w:left w:val="single" w:color="000000" w:sz="8" w:space="0"/>
              <w:bottom w:val="single" w:color="000000" w:sz="8" w:space="0"/>
              <w:right w:val="single" w:color="000000" w:sz="8" w:space="0"/>
            </w:tcBorders>
            <w:noWrap/>
            <w:vAlign w:val="center"/>
          </w:tcPr>
          <w:p w14:paraId="39E651E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48</w:t>
            </w:r>
          </w:p>
        </w:tc>
        <w:tc>
          <w:tcPr>
            <w:tcW w:w="1995" w:type="dxa"/>
            <w:tcBorders>
              <w:top w:val="nil"/>
              <w:left w:val="nil"/>
              <w:bottom w:val="single" w:color="000000" w:sz="8" w:space="0"/>
              <w:right w:val="single" w:color="000000" w:sz="8" w:space="0"/>
            </w:tcBorders>
            <w:noWrap w:val="0"/>
            <w:vAlign w:val="center"/>
          </w:tcPr>
          <w:p w14:paraId="1729F98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781BCC2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6200C30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“一件事一次办”梳理</w:t>
            </w:r>
          </w:p>
        </w:tc>
        <w:tc>
          <w:tcPr>
            <w:tcW w:w="4156" w:type="dxa"/>
            <w:tcBorders>
              <w:top w:val="nil"/>
              <w:left w:val="nil"/>
              <w:bottom w:val="single" w:color="000000" w:sz="8" w:space="0"/>
              <w:right w:val="single" w:color="000000" w:sz="8" w:space="0"/>
            </w:tcBorders>
            <w:noWrap w:val="0"/>
            <w:vAlign w:val="center"/>
          </w:tcPr>
          <w:p w14:paraId="1E51113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数据流向梳理</w:t>
            </w:r>
          </w:p>
        </w:tc>
        <w:tc>
          <w:tcPr>
            <w:tcW w:w="11040" w:type="dxa"/>
            <w:tcBorders>
              <w:top w:val="nil"/>
              <w:left w:val="nil"/>
              <w:bottom w:val="single" w:color="000000" w:sz="8" w:space="0"/>
              <w:right w:val="single" w:color="000000" w:sz="8" w:space="0"/>
            </w:tcBorders>
            <w:noWrap w:val="0"/>
            <w:vAlign w:val="center"/>
          </w:tcPr>
          <w:p w14:paraId="02F5E5C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根据套餐主题事项梳理表中业务办理系统信息填写，归集服务主题下政务服务事项涉及系统，以及运行系统涉及的证照信息，并根据事项梳理表中材料来源，事项梳理表中发证部门之间的关联性，理清政务服务事项中的数据流向。</w:t>
            </w:r>
          </w:p>
        </w:tc>
        <w:tc>
          <w:tcPr>
            <w:tcW w:w="1171" w:type="dxa"/>
            <w:tcBorders>
              <w:top w:val="nil"/>
              <w:left w:val="nil"/>
              <w:bottom w:val="single" w:color="000000" w:sz="8" w:space="0"/>
              <w:right w:val="single" w:color="000000" w:sz="8" w:space="0"/>
            </w:tcBorders>
            <w:noWrap/>
            <w:vAlign w:val="center"/>
          </w:tcPr>
          <w:p w14:paraId="70D77FC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083848C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1E78E01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0A31D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76" w:hRule="atLeast"/>
        </w:trPr>
        <w:tc>
          <w:tcPr>
            <w:tcW w:w="750" w:type="dxa"/>
            <w:tcBorders>
              <w:top w:val="nil"/>
              <w:left w:val="single" w:color="000000" w:sz="8" w:space="0"/>
              <w:bottom w:val="single" w:color="000000" w:sz="8" w:space="0"/>
              <w:right w:val="single" w:color="000000" w:sz="8" w:space="0"/>
            </w:tcBorders>
            <w:noWrap/>
            <w:vAlign w:val="center"/>
          </w:tcPr>
          <w:p w14:paraId="281D2AE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49</w:t>
            </w:r>
          </w:p>
        </w:tc>
        <w:tc>
          <w:tcPr>
            <w:tcW w:w="1995" w:type="dxa"/>
            <w:tcBorders>
              <w:top w:val="nil"/>
              <w:left w:val="nil"/>
              <w:bottom w:val="single" w:color="000000" w:sz="8" w:space="0"/>
              <w:right w:val="single" w:color="000000" w:sz="8" w:space="0"/>
            </w:tcBorders>
            <w:noWrap w:val="0"/>
            <w:vAlign w:val="center"/>
          </w:tcPr>
          <w:p w14:paraId="7F917B9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3DA7096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327FBC0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一件事套餐管理</w:t>
            </w:r>
          </w:p>
        </w:tc>
        <w:tc>
          <w:tcPr>
            <w:tcW w:w="4156" w:type="dxa"/>
            <w:tcBorders>
              <w:top w:val="nil"/>
              <w:left w:val="nil"/>
              <w:bottom w:val="single" w:color="000000" w:sz="8" w:space="0"/>
              <w:right w:val="single" w:color="000000" w:sz="8" w:space="0"/>
            </w:tcBorders>
            <w:noWrap w:val="0"/>
            <w:vAlign w:val="center"/>
          </w:tcPr>
          <w:p w14:paraId="20CB307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统一事项配置</w:t>
            </w:r>
          </w:p>
        </w:tc>
        <w:tc>
          <w:tcPr>
            <w:tcW w:w="11040" w:type="dxa"/>
            <w:tcBorders>
              <w:top w:val="nil"/>
              <w:left w:val="nil"/>
              <w:bottom w:val="single" w:color="000000" w:sz="8" w:space="0"/>
              <w:right w:val="single" w:color="000000" w:sz="8" w:space="0"/>
            </w:tcBorders>
            <w:noWrap w:val="0"/>
            <w:vAlign w:val="center"/>
          </w:tcPr>
          <w:p w14:paraId="3D07F87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标准化要求，一件事中事项与事项的串并联关系，应该通过统一事项目录来建立，考虑一个国标中事项目录下存在多个业务办理项编码（多个实施事项），由事项中心维护统一事项目录，来实现各个业务办理项编码（实施事项）的区分。</w:t>
            </w:r>
          </w:p>
        </w:tc>
        <w:tc>
          <w:tcPr>
            <w:tcW w:w="1171" w:type="dxa"/>
            <w:tcBorders>
              <w:top w:val="nil"/>
              <w:left w:val="nil"/>
              <w:bottom w:val="single" w:color="000000" w:sz="8" w:space="0"/>
              <w:right w:val="single" w:color="000000" w:sz="8" w:space="0"/>
            </w:tcBorders>
            <w:noWrap/>
            <w:vAlign w:val="center"/>
          </w:tcPr>
          <w:p w14:paraId="0B260F0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3883C68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7BEA079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26307D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95" w:hRule="atLeast"/>
        </w:trPr>
        <w:tc>
          <w:tcPr>
            <w:tcW w:w="750" w:type="dxa"/>
            <w:tcBorders>
              <w:top w:val="nil"/>
              <w:left w:val="single" w:color="000000" w:sz="8" w:space="0"/>
              <w:bottom w:val="single" w:color="000000" w:sz="8" w:space="0"/>
              <w:right w:val="single" w:color="000000" w:sz="8" w:space="0"/>
            </w:tcBorders>
            <w:noWrap/>
            <w:vAlign w:val="center"/>
          </w:tcPr>
          <w:p w14:paraId="7EB705F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50</w:t>
            </w:r>
          </w:p>
        </w:tc>
        <w:tc>
          <w:tcPr>
            <w:tcW w:w="1995" w:type="dxa"/>
            <w:tcBorders>
              <w:top w:val="nil"/>
              <w:left w:val="nil"/>
              <w:bottom w:val="single" w:color="000000" w:sz="8" w:space="0"/>
              <w:right w:val="single" w:color="000000" w:sz="8" w:space="0"/>
            </w:tcBorders>
            <w:noWrap w:val="0"/>
            <w:vAlign w:val="center"/>
          </w:tcPr>
          <w:p w14:paraId="67AD77F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6DE251D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76F95C1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一件事套餐管理</w:t>
            </w:r>
          </w:p>
        </w:tc>
        <w:tc>
          <w:tcPr>
            <w:tcW w:w="4156" w:type="dxa"/>
            <w:tcBorders>
              <w:top w:val="nil"/>
              <w:left w:val="nil"/>
              <w:bottom w:val="single" w:color="000000" w:sz="8" w:space="0"/>
              <w:right w:val="single" w:color="000000" w:sz="8" w:space="0"/>
            </w:tcBorders>
            <w:noWrap w:val="0"/>
            <w:vAlign w:val="center"/>
          </w:tcPr>
          <w:p w14:paraId="7C37ED1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“一件事”事项配置</w:t>
            </w:r>
          </w:p>
        </w:tc>
        <w:tc>
          <w:tcPr>
            <w:tcW w:w="11040" w:type="dxa"/>
            <w:tcBorders>
              <w:top w:val="nil"/>
              <w:left w:val="nil"/>
              <w:bottom w:val="single" w:color="000000" w:sz="8" w:space="0"/>
              <w:right w:val="single" w:color="000000" w:sz="8" w:space="0"/>
            </w:tcBorders>
            <w:noWrap w:val="0"/>
            <w:vAlign w:val="center"/>
          </w:tcPr>
          <w:p w14:paraId="3F4B70B6">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将一件事的配置做成事项运行流水线配置，采用向导式的设计方式引导完成一件事的标准配置，减少配置复杂度。主要包括事项集成、一张表单、一套材料、情形引导配置。</w:t>
            </w:r>
          </w:p>
        </w:tc>
        <w:tc>
          <w:tcPr>
            <w:tcW w:w="1171" w:type="dxa"/>
            <w:tcBorders>
              <w:top w:val="nil"/>
              <w:left w:val="nil"/>
              <w:bottom w:val="single" w:color="000000" w:sz="8" w:space="0"/>
              <w:right w:val="single" w:color="000000" w:sz="8" w:space="0"/>
            </w:tcBorders>
            <w:noWrap/>
            <w:vAlign w:val="center"/>
          </w:tcPr>
          <w:p w14:paraId="4F9CDDD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4ACC1B2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4078" w:type="dxa"/>
            <w:tcBorders>
              <w:top w:val="nil"/>
              <w:left w:val="single" w:color="000000" w:sz="8" w:space="0"/>
              <w:bottom w:val="single" w:color="000000" w:sz="8" w:space="0"/>
              <w:right w:val="single" w:color="000000" w:sz="8" w:space="0"/>
            </w:tcBorders>
            <w:noWrap/>
            <w:vAlign w:val="center"/>
          </w:tcPr>
          <w:p w14:paraId="7C29745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4DD9F4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0" w:hRule="atLeast"/>
        </w:trPr>
        <w:tc>
          <w:tcPr>
            <w:tcW w:w="750" w:type="dxa"/>
            <w:tcBorders>
              <w:top w:val="nil"/>
              <w:left w:val="single" w:color="000000" w:sz="8" w:space="0"/>
              <w:bottom w:val="single" w:color="000000" w:sz="8" w:space="0"/>
              <w:right w:val="single" w:color="000000" w:sz="8" w:space="0"/>
            </w:tcBorders>
            <w:noWrap/>
            <w:vAlign w:val="center"/>
          </w:tcPr>
          <w:p w14:paraId="74618C7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51</w:t>
            </w:r>
          </w:p>
        </w:tc>
        <w:tc>
          <w:tcPr>
            <w:tcW w:w="1995" w:type="dxa"/>
            <w:tcBorders>
              <w:top w:val="nil"/>
              <w:left w:val="nil"/>
              <w:bottom w:val="single" w:color="000000" w:sz="8" w:space="0"/>
              <w:right w:val="single" w:color="000000" w:sz="8" w:space="0"/>
            </w:tcBorders>
            <w:noWrap w:val="0"/>
            <w:vAlign w:val="center"/>
          </w:tcPr>
          <w:p w14:paraId="65E261D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586A82F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11A9724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一件事线上服务专栏</w:t>
            </w:r>
          </w:p>
        </w:tc>
        <w:tc>
          <w:tcPr>
            <w:tcW w:w="4156" w:type="dxa"/>
            <w:tcBorders>
              <w:top w:val="nil"/>
              <w:left w:val="nil"/>
              <w:bottom w:val="single" w:color="000000" w:sz="8" w:space="0"/>
              <w:right w:val="single" w:color="000000" w:sz="8" w:space="0"/>
            </w:tcBorders>
            <w:noWrap w:val="0"/>
            <w:vAlign w:val="center"/>
          </w:tcPr>
          <w:p w14:paraId="7155EB1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“一件事”统一服务入口</w:t>
            </w:r>
          </w:p>
        </w:tc>
        <w:tc>
          <w:tcPr>
            <w:tcW w:w="11040" w:type="dxa"/>
            <w:tcBorders>
              <w:top w:val="nil"/>
              <w:left w:val="nil"/>
              <w:bottom w:val="single" w:color="000000" w:sz="8" w:space="0"/>
              <w:right w:val="single" w:color="000000" w:sz="8" w:space="0"/>
            </w:tcBorders>
            <w:noWrap w:val="0"/>
            <w:vAlign w:val="center"/>
          </w:tcPr>
          <w:p w14:paraId="70F088C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针对线上服务，为突出、方便申报者申请，特在政务服务网增加“一件事”专题栏。</w:t>
            </w:r>
          </w:p>
        </w:tc>
        <w:tc>
          <w:tcPr>
            <w:tcW w:w="1171" w:type="dxa"/>
            <w:tcBorders>
              <w:top w:val="nil"/>
              <w:left w:val="nil"/>
              <w:bottom w:val="single" w:color="000000" w:sz="8" w:space="0"/>
              <w:right w:val="single" w:color="000000" w:sz="8" w:space="0"/>
            </w:tcBorders>
            <w:noWrap/>
            <w:vAlign w:val="center"/>
          </w:tcPr>
          <w:p w14:paraId="7105872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0F4ADB0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4078" w:type="dxa"/>
            <w:tcBorders>
              <w:top w:val="nil"/>
              <w:left w:val="single" w:color="000000" w:sz="8" w:space="0"/>
              <w:bottom w:val="single" w:color="000000" w:sz="8" w:space="0"/>
              <w:right w:val="single" w:color="000000" w:sz="8" w:space="0"/>
            </w:tcBorders>
            <w:noWrap/>
            <w:vAlign w:val="center"/>
          </w:tcPr>
          <w:p w14:paraId="7C52B69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038685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293FB2B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52</w:t>
            </w:r>
          </w:p>
        </w:tc>
        <w:tc>
          <w:tcPr>
            <w:tcW w:w="1995" w:type="dxa"/>
            <w:tcBorders>
              <w:top w:val="nil"/>
              <w:left w:val="nil"/>
              <w:bottom w:val="single" w:color="000000" w:sz="8" w:space="0"/>
              <w:right w:val="single" w:color="000000" w:sz="8" w:space="0"/>
            </w:tcBorders>
            <w:noWrap w:val="0"/>
            <w:vAlign w:val="center"/>
          </w:tcPr>
          <w:p w14:paraId="3A64047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1A05720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3BC72A9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一件事线上服务专栏</w:t>
            </w:r>
          </w:p>
        </w:tc>
        <w:tc>
          <w:tcPr>
            <w:tcW w:w="4156" w:type="dxa"/>
            <w:tcBorders>
              <w:top w:val="nil"/>
              <w:left w:val="nil"/>
              <w:bottom w:val="single" w:color="000000" w:sz="8" w:space="0"/>
              <w:right w:val="single" w:color="000000" w:sz="8" w:space="0"/>
            </w:tcBorders>
            <w:noWrap w:val="0"/>
            <w:vAlign w:val="center"/>
          </w:tcPr>
          <w:p w14:paraId="0DB740E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“一件事”线上专栏首页</w:t>
            </w:r>
          </w:p>
        </w:tc>
        <w:tc>
          <w:tcPr>
            <w:tcW w:w="11040" w:type="dxa"/>
            <w:tcBorders>
              <w:top w:val="nil"/>
              <w:left w:val="nil"/>
              <w:bottom w:val="single" w:color="000000" w:sz="8" w:space="0"/>
              <w:right w:val="single" w:color="000000" w:sz="8" w:space="0"/>
            </w:tcBorders>
            <w:noWrap w:val="0"/>
            <w:vAlign w:val="center"/>
          </w:tcPr>
          <w:p w14:paraId="77996611">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申报者进入“一件事”专题后，展示“一件事”线上专栏首页，线上专栏首页分为个人一件事联办与法人一件事联办。</w:t>
            </w:r>
          </w:p>
        </w:tc>
        <w:tc>
          <w:tcPr>
            <w:tcW w:w="1171" w:type="dxa"/>
            <w:tcBorders>
              <w:top w:val="nil"/>
              <w:left w:val="nil"/>
              <w:bottom w:val="single" w:color="000000" w:sz="8" w:space="0"/>
              <w:right w:val="single" w:color="000000" w:sz="8" w:space="0"/>
            </w:tcBorders>
            <w:noWrap/>
            <w:vAlign w:val="center"/>
          </w:tcPr>
          <w:p w14:paraId="74E4DFF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768E61F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59C3F82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25F1F5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15" w:hRule="atLeast"/>
        </w:trPr>
        <w:tc>
          <w:tcPr>
            <w:tcW w:w="750" w:type="dxa"/>
            <w:tcBorders>
              <w:top w:val="nil"/>
              <w:left w:val="single" w:color="000000" w:sz="8" w:space="0"/>
              <w:bottom w:val="single" w:color="000000" w:sz="8" w:space="0"/>
              <w:right w:val="single" w:color="000000" w:sz="8" w:space="0"/>
            </w:tcBorders>
            <w:noWrap/>
            <w:vAlign w:val="center"/>
          </w:tcPr>
          <w:p w14:paraId="684E5CA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53</w:t>
            </w:r>
          </w:p>
        </w:tc>
        <w:tc>
          <w:tcPr>
            <w:tcW w:w="1995" w:type="dxa"/>
            <w:tcBorders>
              <w:top w:val="nil"/>
              <w:left w:val="nil"/>
              <w:bottom w:val="single" w:color="000000" w:sz="8" w:space="0"/>
              <w:right w:val="single" w:color="000000" w:sz="8" w:space="0"/>
            </w:tcBorders>
            <w:noWrap w:val="0"/>
            <w:vAlign w:val="center"/>
          </w:tcPr>
          <w:p w14:paraId="2FAF981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106D821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4774D1E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一件事线上服务专栏</w:t>
            </w:r>
          </w:p>
        </w:tc>
        <w:tc>
          <w:tcPr>
            <w:tcW w:w="4156" w:type="dxa"/>
            <w:tcBorders>
              <w:top w:val="nil"/>
              <w:left w:val="nil"/>
              <w:bottom w:val="single" w:color="000000" w:sz="8" w:space="0"/>
              <w:right w:val="single" w:color="000000" w:sz="8" w:space="0"/>
            </w:tcBorders>
            <w:noWrap w:val="0"/>
            <w:vAlign w:val="center"/>
          </w:tcPr>
          <w:p w14:paraId="6842714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“一件事”办事指南</w:t>
            </w:r>
          </w:p>
        </w:tc>
        <w:tc>
          <w:tcPr>
            <w:tcW w:w="11040" w:type="dxa"/>
            <w:tcBorders>
              <w:top w:val="nil"/>
              <w:left w:val="nil"/>
              <w:bottom w:val="single" w:color="000000" w:sz="8" w:space="0"/>
              <w:right w:val="single" w:color="000000" w:sz="8" w:space="0"/>
            </w:tcBorders>
            <w:noWrap w:val="0"/>
            <w:vAlign w:val="center"/>
          </w:tcPr>
          <w:p w14:paraId="4F613D3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一件事办事指南按照申报者办事常规思路设计，提供展示了该一件事的基本信息、联办效能、联办事项、申报材料、申报条件、办理流程、收费情况、办事评价、常见问题等信息，界面更清晰、更人性化。</w:t>
            </w:r>
          </w:p>
        </w:tc>
        <w:tc>
          <w:tcPr>
            <w:tcW w:w="1171" w:type="dxa"/>
            <w:tcBorders>
              <w:top w:val="nil"/>
              <w:left w:val="nil"/>
              <w:bottom w:val="single" w:color="000000" w:sz="8" w:space="0"/>
              <w:right w:val="single" w:color="000000" w:sz="8" w:space="0"/>
            </w:tcBorders>
            <w:noWrap/>
            <w:vAlign w:val="center"/>
          </w:tcPr>
          <w:p w14:paraId="69DC3BC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4867C71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729333E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1E506F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4" w:hRule="atLeast"/>
        </w:trPr>
        <w:tc>
          <w:tcPr>
            <w:tcW w:w="750" w:type="dxa"/>
            <w:tcBorders>
              <w:top w:val="nil"/>
              <w:left w:val="single" w:color="000000" w:sz="8" w:space="0"/>
              <w:bottom w:val="single" w:color="000000" w:sz="8" w:space="0"/>
              <w:right w:val="single" w:color="000000" w:sz="8" w:space="0"/>
            </w:tcBorders>
            <w:noWrap/>
            <w:vAlign w:val="center"/>
          </w:tcPr>
          <w:p w14:paraId="0E4BB6A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54</w:t>
            </w:r>
          </w:p>
        </w:tc>
        <w:tc>
          <w:tcPr>
            <w:tcW w:w="1995" w:type="dxa"/>
            <w:tcBorders>
              <w:top w:val="nil"/>
              <w:left w:val="nil"/>
              <w:bottom w:val="single" w:color="000000" w:sz="8" w:space="0"/>
              <w:right w:val="single" w:color="000000" w:sz="8" w:space="0"/>
            </w:tcBorders>
            <w:noWrap w:val="0"/>
            <w:vAlign w:val="center"/>
          </w:tcPr>
          <w:p w14:paraId="59285D6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50AF452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1384906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一件事线上服务专栏</w:t>
            </w:r>
          </w:p>
        </w:tc>
        <w:tc>
          <w:tcPr>
            <w:tcW w:w="4156" w:type="dxa"/>
            <w:tcBorders>
              <w:top w:val="nil"/>
              <w:left w:val="nil"/>
              <w:bottom w:val="single" w:color="000000" w:sz="8" w:space="0"/>
              <w:right w:val="single" w:color="000000" w:sz="8" w:space="0"/>
            </w:tcBorders>
            <w:noWrap w:val="0"/>
            <w:vAlign w:val="center"/>
          </w:tcPr>
          <w:p w14:paraId="74BA8BF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“一件事”在线申报</w:t>
            </w:r>
          </w:p>
        </w:tc>
        <w:tc>
          <w:tcPr>
            <w:tcW w:w="11040" w:type="dxa"/>
            <w:tcBorders>
              <w:top w:val="nil"/>
              <w:left w:val="nil"/>
              <w:bottom w:val="single" w:color="000000" w:sz="8" w:space="0"/>
              <w:right w:val="single" w:color="000000" w:sz="8" w:space="0"/>
            </w:tcBorders>
            <w:noWrap w:val="0"/>
            <w:vAlign w:val="center"/>
          </w:tcPr>
          <w:p w14:paraId="710F886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在线申报只需一张表单、上传一套材料、一次申报、一窗受理、一网通办、一次办结。申报者只需填写一张表单、上传一套材料、一次办件提交。一键申报后系统会自动根据相应事项拆解表单和材料，并自动分发给相应事项审批部门。</w:t>
            </w:r>
          </w:p>
        </w:tc>
        <w:tc>
          <w:tcPr>
            <w:tcW w:w="1171" w:type="dxa"/>
            <w:tcBorders>
              <w:top w:val="nil"/>
              <w:left w:val="nil"/>
              <w:bottom w:val="single" w:color="000000" w:sz="8" w:space="0"/>
              <w:right w:val="single" w:color="000000" w:sz="8" w:space="0"/>
            </w:tcBorders>
            <w:noWrap/>
            <w:vAlign w:val="center"/>
          </w:tcPr>
          <w:p w14:paraId="3FBDDC0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2322B76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4078" w:type="dxa"/>
            <w:tcBorders>
              <w:top w:val="nil"/>
              <w:left w:val="single" w:color="000000" w:sz="8" w:space="0"/>
              <w:bottom w:val="single" w:color="000000" w:sz="8" w:space="0"/>
              <w:right w:val="single" w:color="000000" w:sz="8" w:space="0"/>
            </w:tcBorders>
            <w:noWrap/>
            <w:vAlign w:val="center"/>
          </w:tcPr>
          <w:p w14:paraId="583B9A0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364D1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4531A35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55</w:t>
            </w:r>
          </w:p>
        </w:tc>
        <w:tc>
          <w:tcPr>
            <w:tcW w:w="1995" w:type="dxa"/>
            <w:tcBorders>
              <w:top w:val="nil"/>
              <w:left w:val="nil"/>
              <w:bottom w:val="single" w:color="000000" w:sz="8" w:space="0"/>
              <w:right w:val="single" w:color="000000" w:sz="8" w:space="0"/>
            </w:tcBorders>
            <w:noWrap w:val="0"/>
            <w:vAlign w:val="center"/>
          </w:tcPr>
          <w:p w14:paraId="2B8926B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6812659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11AEBF6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一件事线上服务专栏</w:t>
            </w:r>
          </w:p>
        </w:tc>
        <w:tc>
          <w:tcPr>
            <w:tcW w:w="4156" w:type="dxa"/>
            <w:tcBorders>
              <w:top w:val="nil"/>
              <w:left w:val="nil"/>
              <w:bottom w:val="single" w:color="000000" w:sz="8" w:space="0"/>
              <w:right w:val="single" w:color="000000" w:sz="8" w:space="0"/>
            </w:tcBorders>
            <w:noWrap w:val="0"/>
            <w:vAlign w:val="center"/>
          </w:tcPr>
          <w:p w14:paraId="6BFA9AC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一张表数据感知回填</w:t>
            </w:r>
          </w:p>
        </w:tc>
        <w:tc>
          <w:tcPr>
            <w:tcW w:w="11040" w:type="dxa"/>
            <w:tcBorders>
              <w:top w:val="nil"/>
              <w:left w:val="nil"/>
              <w:bottom w:val="single" w:color="000000" w:sz="8" w:space="0"/>
              <w:right w:val="single" w:color="000000" w:sz="8" w:space="0"/>
            </w:tcBorders>
            <w:noWrap w:val="0"/>
            <w:vAlign w:val="center"/>
          </w:tcPr>
          <w:p w14:paraId="414F111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根据用户所选办事情形的不同，动态生成包含融合了多个事项申请表填写项的一张表单。</w:t>
            </w:r>
          </w:p>
        </w:tc>
        <w:tc>
          <w:tcPr>
            <w:tcW w:w="1171" w:type="dxa"/>
            <w:tcBorders>
              <w:top w:val="nil"/>
              <w:left w:val="nil"/>
              <w:bottom w:val="single" w:color="000000" w:sz="8" w:space="0"/>
              <w:right w:val="single" w:color="000000" w:sz="8" w:space="0"/>
            </w:tcBorders>
            <w:noWrap/>
            <w:vAlign w:val="center"/>
          </w:tcPr>
          <w:p w14:paraId="5CB74EF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4D46689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4078" w:type="dxa"/>
            <w:tcBorders>
              <w:top w:val="nil"/>
              <w:left w:val="single" w:color="000000" w:sz="8" w:space="0"/>
              <w:bottom w:val="single" w:color="000000" w:sz="8" w:space="0"/>
              <w:right w:val="single" w:color="000000" w:sz="8" w:space="0"/>
            </w:tcBorders>
            <w:noWrap/>
            <w:vAlign w:val="center"/>
          </w:tcPr>
          <w:p w14:paraId="6673AC3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4F9366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4" w:hRule="atLeast"/>
        </w:trPr>
        <w:tc>
          <w:tcPr>
            <w:tcW w:w="750" w:type="dxa"/>
            <w:tcBorders>
              <w:top w:val="nil"/>
              <w:left w:val="single" w:color="000000" w:sz="8" w:space="0"/>
              <w:bottom w:val="single" w:color="000000" w:sz="8" w:space="0"/>
              <w:right w:val="single" w:color="000000" w:sz="8" w:space="0"/>
            </w:tcBorders>
            <w:noWrap/>
            <w:vAlign w:val="center"/>
          </w:tcPr>
          <w:p w14:paraId="238BC23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56</w:t>
            </w:r>
          </w:p>
        </w:tc>
        <w:tc>
          <w:tcPr>
            <w:tcW w:w="1995" w:type="dxa"/>
            <w:tcBorders>
              <w:top w:val="nil"/>
              <w:left w:val="nil"/>
              <w:bottom w:val="single" w:color="000000" w:sz="8" w:space="0"/>
              <w:right w:val="single" w:color="000000" w:sz="8" w:space="0"/>
            </w:tcBorders>
            <w:noWrap w:val="0"/>
            <w:vAlign w:val="center"/>
          </w:tcPr>
          <w:p w14:paraId="3EECEBC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7792E46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52F2158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一件事线上服务专栏</w:t>
            </w:r>
          </w:p>
        </w:tc>
        <w:tc>
          <w:tcPr>
            <w:tcW w:w="4156" w:type="dxa"/>
            <w:tcBorders>
              <w:top w:val="nil"/>
              <w:left w:val="nil"/>
              <w:bottom w:val="single" w:color="000000" w:sz="8" w:space="0"/>
              <w:right w:val="single" w:color="000000" w:sz="8" w:space="0"/>
            </w:tcBorders>
            <w:noWrap w:val="0"/>
            <w:vAlign w:val="center"/>
          </w:tcPr>
          <w:p w14:paraId="5AA463D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多形式材料收取</w:t>
            </w:r>
          </w:p>
        </w:tc>
        <w:tc>
          <w:tcPr>
            <w:tcW w:w="11040" w:type="dxa"/>
            <w:tcBorders>
              <w:top w:val="nil"/>
              <w:left w:val="nil"/>
              <w:bottom w:val="single" w:color="000000" w:sz="8" w:space="0"/>
              <w:right w:val="single" w:color="000000" w:sz="8" w:space="0"/>
            </w:tcBorders>
            <w:noWrap w:val="0"/>
            <w:vAlign w:val="center"/>
          </w:tcPr>
          <w:p w14:paraId="28963C16">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在办理过程中，由于不同情形，申报人需要提供不同形式的材料信息，包括纸质和电子形式等形式。一件事平台提供纸质邮寄和电子材料上传、证照共享等功能，实现让群众少跑路，让数据多跑路的目标。</w:t>
            </w:r>
          </w:p>
        </w:tc>
        <w:tc>
          <w:tcPr>
            <w:tcW w:w="1171" w:type="dxa"/>
            <w:tcBorders>
              <w:top w:val="nil"/>
              <w:left w:val="nil"/>
              <w:bottom w:val="single" w:color="000000" w:sz="8" w:space="0"/>
              <w:right w:val="single" w:color="000000" w:sz="8" w:space="0"/>
            </w:tcBorders>
            <w:noWrap/>
            <w:vAlign w:val="center"/>
          </w:tcPr>
          <w:p w14:paraId="1633B73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2993AB5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4078" w:type="dxa"/>
            <w:tcBorders>
              <w:top w:val="nil"/>
              <w:left w:val="single" w:color="000000" w:sz="8" w:space="0"/>
              <w:bottom w:val="single" w:color="000000" w:sz="8" w:space="0"/>
              <w:right w:val="single" w:color="000000" w:sz="8" w:space="0"/>
            </w:tcBorders>
            <w:noWrap/>
            <w:vAlign w:val="center"/>
          </w:tcPr>
          <w:p w14:paraId="2AA428F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034680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53" w:hRule="atLeast"/>
        </w:trPr>
        <w:tc>
          <w:tcPr>
            <w:tcW w:w="750" w:type="dxa"/>
            <w:tcBorders>
              <w:top w:val="nil"/>
              <w:left w:val="single" w:color="000000" w:sz="8" w:space="0"/>
              <w:bottom w:val="single" w:color="000000" w:sz="8" w:space="0"/>
              <w:right w:val="single" w:color="000000" w:sz="8" w:space="0"/>
            </w:tcBorders>
            <w:noWrap/>
            <w:vAlign w:val="center"/>
          </w:tcPr>
          <w:p w14:paraId="36B3050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57</w:t>
            </w:r>
          </w:p>
        </w:tc>
        <w:tc>
          <w:tcPr>
            <w:tcW w:w="1995" w:type="dxa"/>
            <w:tcBorders>
              <w:top w:val="nil"/>
              <w:left w:val="nil"/>
              <w:bottom w:val="single" w:color="000000" w:sz="8" w:space="0"/>
              <w:right w:val="single" w:color="000000" w:sz="8" w:space="0"/>
            </w:tcBorders>
            <w:noWrap w:val="0"/>
            <w:vAlign w:val="center"/>
          </w:tcPr>
          <w:p w14:paraId="20DCF2E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4193088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56E1FFB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一件事线上服务专栏</w:t>
            </w:r>
          </w:p>
        </w:tc>
        <w:tc>
          <w:tcPr>
            <w:tcW w:w="4156" w:type="dxa"/>
            <w:tcBorders>
              <w:top w:val="nil"/>
              <w:left w:val="nil"/>
              <w:bottom w:val="single" w:color="000000" w:sz="8" w:space="0"/>
              <w:right w:val="single" w:color="000000" w:sz="8" w:space="0"/>
            </w:tcBorders>
            <w:noWrap w:val="0"/>
            <w:vAlign w:val="center"/>
          </w:tcPr>
          <w:p w14:paraId="00E1015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材料邮寄下单</w:t>
            </w:r>
          </w:p>
        </w:tc>
        <w:tc>
          <w:tcPr>
            <w:tcW w:w="11040" w:type="dxa"/>
            <w:tcBorders>
              <w:top w:val="nil"/>
              <w:left w:val="nil"/>
              <w:bottom w:val="single" w:color="000000" w:sz="8" w:space="0"/>
              <w:right w:val="single" w:color="000000" w:sz="8" w:space="0"/>
            </w:tcBorders>
            <w:noWrap w:val="0"/>
            <w:vAlign w:val="center"/>
          </w:tcPr>
          <w:p w14:paraId="3291D80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材料提交步骤如存在材料选择快递送达，则进行展示选择材料送达的材料相关信息，自动填入申报者邮寄信息，根据一件事所属大厅获取大厅邮寄信息自动填入。根据一件事所属大厅获取大厅对应的物流商及其相关信息进行下单。</w:t>
            </w:r>
          </w:p>
        </w:tc>
        <w:tc>
          <w:tcPr>
            <w:tcW w:w="1171" w:type="dxa"/>
            <w:tcBorders>
              <w:top w:val="nil"/>
              <w:left w:val="nil"/>
              <w:bottom w:val="single" w:color="000000" w:sz="8" w:space="0"/>
              <w:right w:val="single" w:color="000000" w:sz="8" w:space="0"/>
            </w:tcBorders>
            <w:noWrap/>
            <w:vAlign w:val="center"/>
          </w:tcPr>
          <w:p w14:paraId="65BA626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7F29834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4078" w:type="dxa"/>
            <w:tcBorders>
              <w:top w:val="nil"/>
              <w:left w:val="single" w:color="000000" w:sz="8" w:space="0"/>
              <w:bottom w:val="single" w:color="000000" w:sz="8" w:space="0"/>
              <w:right w:val="single" w:color="000000" w:sz="8" w:space="0"/>
            </w:tcBorders>
            <w:noWrap/>
            <w:vAlign w:val="center"/>
          </w:tcPr>
          <w:p w14:paraId="7BAB57A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70BB21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0" w:hRule="atLeast"/>
        </w:trPr>
        <w:tc>
          <w:tcPr>
            <w:tcW w:w="750" w:type="dxa"/>
            <w:tcBorders>
              <w:top w:val="nil"/>
              <w:left w:val="single" w:color="000000" w:sz="8" w:space="0"/>
              <w:bottom w:val="single" w:color="000000" w:sz="8" w:space="0"/>
              <w:right w:val="single" w:color="000000" w:sz="8" w:space="0"/>
            </w:tcBorders>
            <w:noWrap/>
            <w:vAlign w:val="center"/>
          </w:tcPr>
          <w:p w14:paraId="799B525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58</w:t>
            </w:r>
          </w:p>
        </w:tc>
        <w:tc>
          <w:tcPr>
            <w:tcW w:w="1995" w:type="dxa"/>
            <w:tcBorders>
              <w:top w:val="nil"/>
              <w:left w:val="nil"/>
              <w:bottom w:val="single" w:color="000000" w:sz="8" w:space="0"/>
              <w:right w:val="single" w:color="000000" w:sz="8" w:space="0"/>
            </w:tcBorders>
            <w:noWrap w:val="0"/>
            <w:vAlign w:val="center"/>
          </w:tcPr>
          <w:p w14:paraId="0FFE3BC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1221E23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262F36B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一件事线上服务专栏</w:t>
            </w:r>
          </w:p>
        </w:tc>
        <w:tc>
          <w:tcPr>
            <w:tcW w:w="4156" w:type="dxa"/>
            <w:tcBorders>
              <w:top w:val="nil"/>
              <w:left w:val="nil"/>
              <w:bottom w:val="single" w:color="000000" w:sz="8" w:space="0"/>
              <w:right w:val="single" w:color="000000" w:sz="8" w:space="0"/>
            </w:tcBorders>
            <w:noWrap w:val="0"/>
            <w:vAlign w:val="center"/>
          </w:tcPr>
          <w:p w14:paraId="3736CAA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申报成功反馈</w:t>
            </w:r>
          </w:p>
        </w:tc>
        <w:tc>
          <w:tcPr>
            <w:tcW w:w="11040" w:type="dxa"/>
            <w:tcBorders>
              <w:top w:val="nil"/>
              <w:left w:val="nil"/>
              <w:bottom w:val="single" w:color="000000" w:sz="8" w:space="0"/>
              <w:right w:val="single" w:color="000000" w:sz="8" w:space="0"/>
            </w:tcBorders>
            <w:noWrap w:val="0"/>
            <w:vAlign w:val="center"/>
          </w:tcPr>
          <w:p w14:paraId="22AFD41A">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申报成功后系统会提供告知单、短信方式供申请人查看办件是否申报成功。</w:t>
            </w:r>
          </w:p>
        </w:tc>
        <w:tc>
          <w:tcPr>
            <w:tcW w:w="1171" w:type="dxa"/>
            <w:tcBorders>
              <w:top w:val="nil"/>
              <w:left w:val="nil"/>
              <w:bottom w:val="single" w:color="000000" w:sz="8" w:space="0"/>
              <w:right w:val="single" w:color="000000" w:sz="8" w:space="0"/>
            </w:tcBorders>
            <w:noWrap/>
            <w:vAlign w:val="center"/>
          </w:tcPr>
          <w:p w14:paraId="3020AF9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3E4957F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2AE7F20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225637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74" w:hRule="atLeast"/>
        </w:trPr>
        <w:tc>
          <w:tcPr>
            <w:tcW w:w="750" w:type="dxa"/>
            <w:tcBorders>
              <w:top w:val="nil"/>
              <w:left w:val="single" w:color="000000" w:sz="8" w:space="0"/>
              <w:bottom w:val="single" w:color="000000" w:sz="8" w:space="0"/>
              <w:right w:val="single" w:color="000000" w:sz="8" w:space="0"/>
            </w:tcBorders>
            <w:noWrap/>
            <w:vAlign w:val="center"/>
          </w:tcPr>
          <w:p w14:paraId="49912F8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59</w:t>
            </w:r>
          </w:p>
        </w:tc>
        <w:tc>
          <w:tcPr>
            <w:tcW w:w="1995" w:type="dxa"/>
            <w:tcBorders>
              <w:top w:val="nil"/>
              <w:left w:val="nil"/>
              <w:bottom w:val="single" w:color="000000" w:sz="8" w:space="0"/>
              <w:right w:val="single" w:color="000000" w:sz="8" w:space="0"/>
            </w:tcBorders>
            <w:noWrap w:val="0"/>
            <w:vAlign w:val="center"/>
          </w:tcPr>
          <w:p w14:paraId="0A41558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68D3383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21D4698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一件事线上服务专栏</w:t>
            </w:r>
          </w:p>
        </w:tc>
        <w:tc>
          <w:tcPr>
            <w:tcW w:w="4156" w:type="dxa"/>
            <w:tcBorders>
              <w:top w:val="nil"/>
              <w:left w:val="nil"/>
              <w:bottom w:val="single" w:color="000000" w:sz="8" w:space="0"/>
              <w:right w:val="single" w:color="000000" w:sz="8" w:space="0"/>
            </w:tcBorders>
            <w:noWrap w:val="0"/>
            <w:vAlign w:val="center"/>
          </w:tcPr>
          <w:p w14:paraId="41F5BCD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“好差评”服务</w:t>
            </w:r>
          </w:p>
        </w:tc>
        <w:tc>
          <w:tcPr>
            <w:tcW w:w="11040" w:type="dxa"/>
            <w:tcBorders>
              <w:top w:val="nil"/>
              <w:left w:val="nil"/>
              <w:bottom w:val="single" w:color="000000" w:sz="8" w:space="0"/>
              <w:right w:val="single" w:color="000000" w:sz="8" w:space="0"/>
            </w:tcBorders>
            <w:noWrap w:val="0"/>
            <w:vAlign w:val="center"/>
          </w:tcPr>
          <w:p w14:paraId="52179B1A">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对接省统建的好差评服务。一件事业务办理完成后，申报者可对业务办理进行好差评，实现政务服务“好差评”渠道全覆盖、信息全关联、数据全汇聚、结果全公开，通过申报者的好差评，倒逼政府部门不断改进工作，增强企业和群众获得感。</w:t>
            </w:r>
          </w:p>
        </w:tc>
        <w:tc>
          <w:tcPr>
            <w:tcW w:w="1171" w:type="dxa"/>
            <w:tcBorders>
              <w:top w:val="nil"/>
              <w:left w:val="nil"/>
              <w:bottom w:val="single" w:color="000000" w:sz="8" w:space="0"/>
              <w:right w:val="single" w:color="000000" w:sz="8" w:space="0"/>
            </w:tcBorders>
            <w:noWrap/>
            <w:vAlign w:val="center"/>
          </w:tcPr>
          <w:p w14:paraId="4753672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6297377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4078" w:type="dxa"/>
            <w:tcBorders>
              <w:top w:val="nil"/>
              <w:left w:val="single" w:color="000000" w:sz="8" w:space="0"/>
              <w:bottom w:val="single" w:color="000000" w:sz="8" w:space="0"/>
              <w:right w:val="single" w:color="000000" w:sz="8" w:space="0"/>
            </w:tcBorders>
            <w:noWrap/>
            <w:vAlign w:val="center"/>
          </w:tcPr>
          <w:p w14:paraId="26458C4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2B28A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31E461C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60</w:t>
            </w:r>
          </w:p>
        </w:tc>
        <w:tc>
          <w:tcPr>
            <w:tcW w:w="1995" w:type="dxa"/>
            <w:tcBorders>
              <w:top w:val="nil"/>
              <w:left w:val="nil"/>
              <w:bottom w:val="single" w:color="000000" w:sz="8" w:space="0"/>
              <w:right w:val="single" w:color="000000" w:sz="8" w:space="0"/>
            </w:tcBorders>
            <w:noWrap w:val="0"/>
            <w:vAlign w:val="center"/>
          </w:tcPr>
          <w:p w14:paraId="73D2410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34A9A88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55E4F42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一件事线上服务专栏</w:t>
            </w:r>
          </w:p>
        </w:tc>
        <w:tc>
          <w:tcPr>
            <w:tcW w:w="4156" w:type="dxa"/>
            <w:tcBorders>
              <w:top w:val="nil"/>
              <w:left w:val="nil"/>
              <w:bottom w:val="single" w:color="000000" w:sz="8" w:space="0"/>
              <w:right w:val="single" w:color="000000" w:sz="8" w:space="0"/>
            </w:tcBorders>
            <w:noWrap w:val="0"/>
            <w:vAlign w:val="center"/>
          </w:tcPr>
          <w:p w14:paraId="48B4E56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“一件事”办理跟踪</w:t>
            </w:r>
          </w:p>
        </w:tc>
        <w:tc>
          <w:tcPr>
            <w:tcW w:w="11040" w:type="dxa"/>
            <w:tcBorders>
              <w:top w:val="nil"/>
              <w:left w:val="nil"/>
              <w:bottom w:val="single" w:color="000000" w:sz="8" w:space="0"/>
              <w:right w:val="single" w:color="000000" w:sz="8" w:space="0"/>
            </w:tcBorders>
            <w:noWrap w:val="0"/>
            <w:vAlign w:val="center"/>
          </w:tcPr>
          <w:p w14:paraId="792BF4E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“一件事”办理跟踪模块主要进行查询当前登录用户所有状态下的办件，以及进行查询各个办件的办件进度。</w:t>
            </w:r>
          </w:p>
        </w:tc>
        <w:tc>
          <w:tcPr>
            <w:tcW w:w="1171" w:type="dxa"/>
            <w:tcBorders>
              <w:top w:val="nil"/>
              <w:left w:val="nil"/>
              <w:bottom w:val="single" w:color="000000" w:sz="8" w:space="0"/>
              <w:right w:val="single" w:color="000000" w:sz="8" w:space="0"/>
            </w:tcBorders>
            <w:noWrap/>
            <w:vAlign w:val="center"/>
          </w:tcPr>
          <w:p w14:paraId="76CF58B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1E462D6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4078" w:type="dxa"/>
            <w:tcBorders>
              <w:top w:val="nil"/>
              <w:left w:val="single" w:color="000000" w:sz="8" w:space="0"/>
              <w:bottom w:val="single" w:color="000000" w:sz="8" w:space="0"/>
              <w:right w:val="single" w:color="000000" w:sz="8" w:space="0"/>
            </w:tcBorders>
            <w:noWrap/>
            <w:vAlign w:val="center"/>
          </w:tcPr>
          <w:p w14:paraId="1E700AA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3C07F0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52FDFD1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61</w:t>
            </w:r>
          </w:p>
        </w:tc>
        <w:tc>
          <w:tcPr>
            <w:tcW w:w="1995" w:type="dxa"/>
            <w:tcBorders>
              <w:top w:val="nil"/>
              <w:left w:val="nil"/>
              <w:bottom w:val="single" w:color="000000" w:sz="8" w:space="0"/>
              <w:right w:val="single" w:color="000000" w:sz="8" w:space="0"/>
            </w:tcBorders>
            <w:noWrap w:val="0"/>
            <w:vAlign w:val="center"/>
          </w:tcPr>
          <w:p w14:paraId="410EF7F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6209EA1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305B63C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一件事线下服务系统</w:t>
            </w:r>
          </w:p>
        </w:tc>
        <w:tc>
          <w:tcPr>
            <w:tcW w:w="4156" w:type="dxa"/>
            <w:tcBorders>
              <w:top w:val="nil"/>
              <w:left w:val="nil"/>
              <w:bottom w:val="single" w:color="000000" w:sz="8" w:space="0"/>
              <w:right w:val="single" w:color="000000" w:sz="8" w:space="0"/>
            </w:tcBorders>
            <w:noWrap w:val="0"/>
            <w:vAlign w:val="center"/>
          </w:tcPr>
          <w:p w14:paraId="4701468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首页</w:t>
            </w:r>
          </w:p>
        </w:tc>
        <w:tc>
          <w:tcPr>
            <w:tcW w:w="11040" w:type="dxa"/>
            <w:tcBorders>
              <w:top w:val="nil"/>
              <w:left w:val="nil"/>
              <w:bottom w:val="single" w:color="000000" w:sz="8" w:space="0"/>
              <w:right w:val="single" w:color="000000" w:sz="8" w:space="0"/>
            </w:tcBorders>
            <w:noWrap w:val="0"/>
            <w:vAlign w:val="center"/>
          </w:tcPr>
          <w:p w14:paraId="61E499D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首页主要包括工作提醒、常用服务、收件到期提醒和办结到期提醒的四项常用功能模块。</w:t>
            </w:r>
          </w:p>
        </w:tc>
        <w:tc>
          <w:tcPr>
            <w:tcW w:w="1171" w:type="dxa"/>
            <w:tcBorders>
              <w:top w:val="nil"/>
              <w:left w:val="nil"/>
              <w:bottom w:val="single" w:color="000000" w:sz="8" w:space="0"/>
              <w:right w:val="single" w:color="000000" w:sz="8" w:space="0"/>
            </w:tcBorders>
            <w:noWrap/>
            <w:vAlign w:val="center"/>
          </w:tcPr>
          <w:p w14:paraId="7BEDE8D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5DC052C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159F623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3AA8F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4" w:hRule="atLeast"/>
        </w:trPr>
        <w:tc>
          <w:tcPr>
            <w:tcW w:w="750" w:type="dxa"/>
            <w:tcBorders>
              <w:top w:val="nil"/>
              <w:left w:val="single" w:color="000000" w:sz="8" w:space="0"/>
              <w:bottom w:val="single" w:color="000000" w:sz="8" w:space="0"/>
              <w:right w:val="single" w:color="000000" w:sz="8" w:space="0"/>
            </w:tcBorders>
            <w:noWrap/>
            <w:vAlign w:val="center"/>
          </w:tcPr>
          <w:p w14:paraId="73FCED0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62</w:t>
            </w:r>
          </w:p>
        </w:tc>
        <w:tc>
          <w:tcPr>
            <w:tcW w:w="1995" w:type="dxa"/>
            <w:tcBorders>
              <w:top w:val="nil"/>
              <w:left w:val="nil"/>
              <w:bottom w:val="single" w:color="000000" w:sz="8" w:space="0"/>
              <w:right w:val="single" w:color="000000" w:sz="8" w:space="0"/>
            </w:tcBorders>
            <w:noWrap w:val="0"/>
            <w:vAlign w:val="center"/>
          </w:tcPr>
          <w:p w14:paraId="35476C1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317C3A9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14AEB8F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一件事线下服务系统</w:t>
            </w:r>
          </w:p>
        </w:tc>
        <w:tc>
          <w:tcPr>
            <w:tcW w:w="4156" w:type="dxa"/>
            <w:tcBorders>
              <w:top w:val="nil"/>
              <w:left w:val="nil"/>
              <w:bottom w:val="single" w:color="000000" w:sz="8" w:space="0"/>
              <w:right w:val="single" w:color="000000" w:sz="8" w:space="0"/>
            </w:tcBorders>
            <w:noWrap w:val="0"/>
            <w:vAlign w:val="center"/>
          </w:tcPr>
          <w:p w14:paraId="546081A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收件登记</w:t>
            </w:r>
          </w:p>
        </w:tc>
        <w:tc>
          <w:tcPr>
            <w:tcW w:w="11040" w:type="dxa"/>
            <w:tcBorders>
              <w:top w:val="nil"/>
              <w:left w:val="nil"/>
              <w:bottom w:val="single" w:color="000000" w:sz="8" w:space="0"/>
              <w:right w:val="single" w:color="000000" w:sz="8" w:space="0"/>
            </w:tcBorders>
            <w:noWrap w:val="0"/>
            <w:vAlign w:val="center"/>
          </w:tcPr>
          <w:p w14:paraId="59A78DD9">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申报人通过大厅进行办件申报。综合窗口人员登录“一件事”线下服务平台，根据不同业务分类找到具体“一件事”事项进行办件的受理登记，综合窗口人员根据不同的事项收取不同的材料，确认材料无误后，并将材料进行电子化，并上传材料。</w:t>
            </w:r>
          </w:p>
        </w:tc>
        <w:tc>
          <w:tcPr>
            <w:tcW w:w="1171" w:type="dxa"/>
            <w:tcBorders>
              <w:top w:val="nil"/>
              <w:left w:val="nil"/>
              <w:bottom w:val="single" w:color="000000" w:sz="8" w:space="0"/>
              <w:right w:val="single" w:color="000000" w:sz="8" w:space="0"/>
            </w:tcBorders>
            <w:noWrap/>
            <w:vAlign w:val="center"/>
          </w:tcPr>
          <w:p w14:paraId="6935DD1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5110690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172F937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1AAFA1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2462C89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63</w:t>
            </w:r>
          </w:p>
        </w:tc>
        <w:tc>
          <w:tcPr>
            <w:tcW w:w="1995" w:type="dxa"/>
            <w:tcBorders>
              <w:top w:val="nil"/>
              <w:left w:val="nil"/>
              <w:bottom w:val="single" w:color="000000" w:sz="8" w:space="0"/>
              <w:right w:val="single" w:color="000000" w:sz="8" w:space="0"/>
            </w:tcBorders>
            <w:noWrap w:val="0"/>
            <w:vAlign w:val="center"/>
          </w:tcPr>
          <w:p w14:paraId="4D78265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2B771D2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16019D4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一件事线下服务系统</w:t>
            </w:r>
          </w:p>
        </w:tc>
        <w:tc>
          <w:tcPr>
            <w:tcW w:w="4156" w:type="dxa"/>
            <w:tcBorders>
              <w:top w:val="nil"/>
              <w:left w:val="nil"/>
              <w:bottom w:val="single" w:color="000000" w:sz="8" w:space="0"/>
              <w:right w:val="single" w:color="000000" w:sz="8" w:space="0"/>
            </w:tcBorders>
            <w:noWrap w:val="0"/>
            <w:vAlign w:val="center"/>
          </w:tcPr>
          <w:p w14:paraId="04A8AB4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预审业务</w:t>
            </w:r>
          </w:p>
        </w:tc>
        <w:tc>
          <w:tcPr>
            <w:tcW w:w="11040" w:type="dxa"/>
            <w:tcBorders>
              <w:top w:val="nil"/>
              <w:left w:val="nil"/>
              <w:bottom w:val="single" w:color="000000" w:sz="8" w:space="0"/>
              <w:right w:val="single" w:color="000000" w:sz="8" w:space="0"/>
            </w:tcBorders>
            <w:noWrap w:val="0"/>
            <w:vAlign w:val="center"/>
          </w:tcPr>
          <w:p w14:paraId="5808146A">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行政服务大厅窗口人员进行预审网上申报的一件事业务，预审通过之后将办件分发给各自所属的审批系统进行审批，预审不通过则退回给申报者进行修改。</w:t>
            </w:r>
          </w:p>
        </w:tc>
        <w:tc>
          <w:tcPr>
            <w:tcW w:w="1171" w:type="dxa"/>
            <w:tcBorders>
              <w:top w:val="nil"/>
              <w:left w:val="nil"/>
              <w:bottom w:val="single" w:color="000000" w:sz="8" w:space="0"/>
              <w:right w:val="single" w:color="000000" w:sz="8" w:space="0"/>
            </w:tcBorders>
            <w:noWrap/>
            <w:vAlign w:val="center"/>
          </w:tcPr>
          <w:p w14:paraId="7F90DFA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6E8E0E8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2C4BBB9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392145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34" w:hRule="atLeast"/>
        </w:trPr>
        <w:tc>
          <w:tcPr>
            <w:tcW w:w="750" w:type="dxa"/>
            <w:tcBorders>
              <w:top w:val="nil"/>
              <w:left w:val="single" w:color="000000" w:sz="8" w:space="0"/>
              <w:bottom w:val="single" w:color="000000" w:sz="8" w:space="0"/>
              <w:right w:val="single" w:color="000000" w:sz="8" w:space="0"/>
            </w:tcBorders>
            <w:noWrap/>
            <w:vAlign w:val="center"/>
          </w:tcPr>
          <w:p w14:paraId="3AF76AD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64</w:t>
            </w:r>
          </w:p>
        </w:tc>
        <w:tc>
          <w:tcPr>
            <w:tcW w:w="1995" w:type="dxa"/>
            <w:tcBorders>
              <w:top w:val="nil"/>
              <w:left w:val="nil"/>
              <w:bottom w:val="single" w:color="000000" w:sz="8" w:space="0"/>
              <w:right w:val="single" w:color="000000" w:sz="8" w:space="0"/>
            </w:tcBorders>
            <w:noWrap w:val="0"/>
            <w:vAlign w:val="center"/>
          </w:tcPr>
          <w:p w14:paraId="744E879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646B24C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330E73D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一件事线下服务系统</w:t>
            </w:r>
          </w:p>
        </w:tc>
        <w:tc>
          <w:tcPr>
            <w:tcW w:w="4156" w:type="dxa"/>
            <w:tcBorders>
              <w:top w:val="nil"/>
              <w:left w:val="nil"/>
              <w:bottom w:val="single" w:color="000000" w:sz="8" w:space="0"/>
              <w:right w:val="single" w:color="000000" w:sz="8" w:space="0"/>
            </w:tcBorders>
            <w:noWrap w:val="0"/>
            <w:vAlign w:val="center"/>
          </w:tcPr>
          <w:p w14:paraId="2A77ECD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草稿件业务</w:t>
            </w:r>
          </w:p>
        </w:tc>
        <w:tc>
          <w:tcPr>
            <w:tcW w:w="11040" w:type="dxa"/>
            <w:tcBorders>
              <w:top w:val="nil"/>
              <w:left w:val="nil"/>
              <w:bottom w:val="single" w:color="000000" w:sz="8" w:space="0"/>
              <w:right w:val="single" w:color="000000" w:sz="8" w:space="0"/>
            </w:tcBorders>
            <w:noWrap w:val="0"/>
            <w:vAlign w:val="center"/>
          </w:tcPr>
          <w:p w14:paraId="45F43C9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进行展示草稿件业务，草稿件业务为收件登记过程中因某些不可抗力无法完成收件登记，已将填写了一部分信息提交了一部分材料，先将办件进行暂存，待不可抗力消失后重新进行收件登记，无需再次重复填写相关信息及材料。</w:t>
            </w:r>
          </w:p>
        </w:tc>
        <w:tc>
          <w:tcPr>
            <w:tcW w:w="1171" w:type="dxa"/>
            <w:tcBorders>
              <w:top w:val="nil"/>
              <w:left w:val="nil"/>
              <w:bottom w:val="single" w:color="000000" w:sz="8" w:space="0"/>
              <w:right w:val="single" w:color="000000" w:sz="8" w:space="0"/>
            </w:tcBorders>
            <w:noWrap/>
            <w:vAlign w:val="center"/>
          </w:tcPr>
          <w:p w14:paraId="6F3B6F1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72889F6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2472452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0F58C1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33" w:hRule="atLeast"/>
        </w:trPr>
        <w:tc>
          <w:tcPr>
            <w:tcW w:w="750" w:type="dxa"/>
            <w:tcBorders>
              <w:top w:val="nil"/>
              <w:left w:val="single" w:color="000000" w:sz="8" w:space="0"/>
              <w:bottom w:val="single" w:color="000000" w:sz="8" w:space="0"/>
              <w:right w:val="single" w:color="000000" w:sz="8" w:space="0"/>
            </w:tcBorders>
            <w:noWrap/>
            <w:vAlign w:val="center"/>
          </w:tcPr>
          <w:p w14:paraId="61DFD1D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65</w:t>
            </w:r>
          </w:p>
        </w:tc>
        <w:tc>
          <w:tcPr>
            <w:tcW w:w="1995" w:type="dxa"/>
            <w:tcBorders>
              <w:top w:val="nil"/>
              <w:left w:val="nil"/>
              <w:bottom w:val="single" w:color="000000" w:sz="8" w:space="0"/>
              <w:right w:val="single" w:color="000000" w:sz="8" w:space="0"/>
            </w:tcBorders>
            <w:noWrap w:val="0"/>
            <w:vAlign w:val="center"/>
          </w:tcPr>
          <w:p w14:paraId="6792FAD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4B02DD9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0B17701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一件事线下服务系统</w:t>
            </w:r>
          </w:p>
        </w:tc>
        <w:tc>
          <w:tcPr>
            <w:tcW w:w="4156" w:type="dxa"/>
            <w:tcBorders>
              <w:top w:val="nil"/>
              <w:left w:val="nil"/>
              <w:bottom w:val="single" w:color="000000" w:sz="8" w:space="0"/>
              <w:right w:val="single" w:color="000000" w:sz="8" w:space="0"/>
            </w:tcBorders>
            <w:noWrap w:val="0"/>
            <w:vAlign w:val="center"/>
          </w:tcPr>
          <w:p w14:paraId="21579A2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草稿件业务</w:t>
            </w:r>
          </w:p>
        </w:tc>
        <w:tc>
          <w:tcPr>
            <w:tcW w:w="11040" w:type="dxa"/>
            <w:tcBorders>
              <w:top w:val="nil"/>
              <w:left w:val="nil"/>
              <w:bottom w:val="single" w:color="000000" w:sz="8" w:space="0"/>
              <w:right w:val="single" w:color="000000" w:sz="8" w:space="0"/>
            </w:tcBorders>
            <w:noWrap w:val="0"/>
            <w:vAlign w:val="center"/>
          </w:tcPr>
          <w:p w14:paraId="0EB448A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“一件事”综合受理系统提供寄件窗口的基本信息维护功能，主要包括对各部门的取件窗口、联系方式、联系人、客户编码等信息进行维护，供后续寄件下单时选择使用。</w:t>
            </w:r>
          </w:p>
        </w:tc>
        <w:tc>
          <w:tcPr>
            <w:tcW w:w="1171" w:type="dxa"/>
            <w:tcBorders>
              <w:top w:val="nil"/>
              <w:left w:val="nil"/>
              <w:bottom w:val="single" w:color="000000" w:sz="8" w:space="0"/>
              <w:right w:val="single" w:color="000000" w:sz="8" w:space="0"/>
            </w:tcBorders>
            <w:noWrap/>
            <w:vAlign w:val="center"/>
          </w:tcPr>
          <w:p w14:paraId="4F618C2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0A2E268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42212D5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2056A2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0608B23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66</w:t>
            </w:r>
          </w:p>
        </w:tc>
        <w:tc>
          <w:tcPr>
            <w:tcW w:w="1995" w:type="dxa"/>
            <w:tcBorders>
              <w:top w:val="nil"/>
              <w:left w:val="nil"/>
              <w:bottom w:val="single" w:color="000000" w:sz="8" w:space="0"/>
              <w:right w:val="single" w:color="000000" w:sz="8" w:space="0"/>
            </w:tcBorders>
            <w:noWrap w:val="0"/>
            <w:vAlign w:val="center"/>
          </w:tcPr>
          <w:p w14:paraId="098A644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371F43B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00ACBBD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一件事线下服务系统</w:t>
            </w:r>
          </w:p>
        </w:tc>
        <w:tc>
          <w:tcPr>
            <w:tcW w:w="4156" w:type="dxa"/>
            <w:tcBorders>
              <w:top w:val="nil"/>
              <w:left w:val="nil"/>
              <w:bottom w:val="single" w:color="000000" w:sz="8" w:space="0"/>
              <w:right w:val="single" w:color="000000" w:sz="8" w:space="0"/>
            </w:tcBorders>
            <w:noWrap w:val="0"/>
            <w:vAlign w:val="center"/>
          </w:tcPr>
          <w:p w14:paraId="3BF2D16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现场取件业务</w:t>
            </w:r>
          </w:p>
        </w:tc>
        <w:tc>
          <w:tcPr>
            <w:tcW w:w="11040" w:type="dxa"/>
            <w:tcBorders>
              <w:top w:val="nil"/>
              <w:left w:val="nil"/>
              <w:bottom w:val="single" w:color="000000" w:sz="8" w:space="0"/>
              <w:right w:val="single" w:color="000000" w:sz="8" w:space="0"/>
            </w:tcBorders>
            <w:noWrap w:val="0"/>
            <w:vAlign w:val="center"/>
          </w:tcPr>
          <w:p w14:paraId="79357F7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现场取件业务模块主要为窗口人员提供纸质办结结果取件登记业务。分为待取件业务与已取件业务。</w:t>
            </w:r>
          </w:p>
        </w:tc>
        <w:tc>
          <w:tcPr>
            <w:tcW w:w="1171" w:type="dxa"/>
            <w:tcBorders>
              <w:top w:val="nil"/>
              <w:left w:val="nil"/>
              <w:bottom w:val="single" w:color="000000" w:sz="8" w:space="0"/>
              <w:right w:val="single" w:color="000000" w:sz="8" w:space="0"/>
            </w:tcBorders>
            <w:noWrap/>
            <w:vAlign w:val="center"/>
          </w:tcPr>
          <w:p w14:paraId="1BFC7D0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4CB88E3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61D16E4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1D7102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1EBE86D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67</w:t>
            </w:r>
          </w:p>
        </w:tc>
        <w:tc>
          <w:tcPr>
            <w:tcW w:w="1995" w:type="dxa"/>
            <w:tcBorders>
              <w:top w:val="nil"/>
              <w:left w:val="nil"/>
              <w:bottom w:val="single" w:color="000000" w:sz="8" w:space="0"/>
              <w:right w:val="single" w:color="000000" w:sz="8" w:space="0"/>
            </w:tcBorders>
            <w:noWrap w:val="0"/>
            <w:vAlign w:val="center"/>
          </w:tcPr>
          <w:p w14:paraId="28C77DD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511AE5D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5841855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一件事线下服务系统</w:t>
            </w:r>
          </w:p>
        </w:tc>
        <w:tc>
          <w:tcPr>
            <w:tcW w:w="4156" w:type="dxa"/>
            <w:tcBorders>
              <w:top w:val="nil"/>
              <w:left w:val="nil"/>
              <w:bottom w:val="single" w:color="000000" w:sz="8" w:space="0"/>
              <w:right w:val="single" w:color="000000" w:sz="8" w:space="0"/>
            </w:tcBorders>
            <w:noWrap w:val="0"/>
            <w:vAlign w:val="center"/>
          </w:tcPr>
          <w:p w14:paraId="5260564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“一件事”服务开放</w:t>
            </w:r>
          </w:p>
        </w:tc>
        <w:tc>
          <w:tcPr>
            <w:tcW w:w="11040" w:type="dxa"/>
            <w:tcBorders>
              <w:top w:val="nil"/>
              <w:left w:val="nil"/>
              <w:bottom w:val="single" w:color="000000" w:sz="8" w:space="0"/>
              <w:right w:val="single" w:color="000000" w:sz="8" w:space="0"/>
            </w:tcBorders>
            <w:noWrap w:val="0"/>
            <w:vAlign w:val="center"/>
          </w:tcPr>
          <w:p w14:paraId="4D17C57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实现“一件事”主题服务 API 服务接口和页面服务能力的输出如注册、发布、申请、鉴权、监控、更新的功能。</w:t>
            </w:r>
          </w:p>
        </w:tc>
        <w:tc>
          <w:tcPr>
            <w:tcW w:w="1171" w:type="dxa"/>
            <w:tcBorders>
              <w:top w:val="nil"/>
              <w:left w:val="nil"/>
              <w:bottom w:val="single" w:color="000000" w:sz="8" w:space="0"/>
              <w:right w:val="single" w:color="000000" w:sz="8" w:space="0"/>
            </w:tcBorders>
            <w:noWrap/>
            <w:vAlign w:val="center"/>
          </w:tcPr>
          <w:p w14:paraId="5FC1009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16D1D53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17FCCDC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77C3C5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4" w:hRule="atLeast"/>
        </w:trPr>
        <w:tc>
          <w:tcPr>
            <w:tcW w:w="750" w:type="dxa"/>
            <w:tcBorders>
              <w:top w:val="nil"/>
              <w:left w:val="single" w:color="000000" w:sz="8" w:space="0"/>
              <w:bottom w:val="single" w:color="000000" w:sz="8" w:space="0"/>
              <w:right w:val="single" w:color="000000" w:sz="8" w:space="0"/>
            </w:tcBorders>
            <w:noWrap/>
            <w:vAlign w:val="center"/>
          </w:tcPr>
          <w:p w14:paraId="569FD15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68</w:t>
            </w:r>
          </w:p>
        </w:tc>
        <w:tc>
          <w:tcPr>
            <w:tcW w:w="1995" w:type="dxa"/>
            <w:tcBorders>
              <w:top w:val="nil"/>
              <w:left w:val="nil"/>
              <w:bottom w:val="single" w:color="000000" w:sz="8" w:space="0"/>
              <w:right w:val="single" w:color="000000" w:sz="8" w:space="0"/>
            </w:tcBorders>
            <w:noWrap w:val="0"/>
            <w:vAlign w:val="center"/>
          </w:tcPr>
          <w:p w14:paraId="32E3B75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1F2E539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253DA9C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一件事线下服务系统</w:t>
            </w:r>
          </w:p>
        </w:tc>
        <w:tc>
          <w:tcPr>
            <w:tcW w:w="4156" w:type="dxa"/>
            <w:tcBorders>
              <w:top w:val="nil"/>
              <w:left w:val="nil"/>
              <w:bottom w:val="single" w:color="000000" w:sz="8" w:space="0"/>
              <w:right w:val="single" w:color="000000" w:sz="8" w:space="0"/>
            </w:tcBorders>
            <w:noWrap w:val="0"/>
            <w:vAlign w:val="center"/>
          </w:tcPr>
          <w:p w14:paraId="5E062EC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“一件事”运维支撑系统</w:t>
            </w:r>
          </w:p>
        </w:tc>
        <w:tc>
          <w:tcPr>
            <w:tcW w:w="11040" w:type="dxa"/>
            <w:tcBorders>
              <w:top w:val="nil"/>
              <w:left w:val="nil"/>
              <w:bottom w:val="single" w:color="000000" w:sz="8" w:space="0"/>
              <w:right w:val="single" w:color="000000" w:sz="8" w:space="0"/>
            </w:tcBorders>
            <w:noWrap w:val="0"/>
            <w:vAlign w:val="center"/>
          </w:tcPr>
          <w:p w14:paraId="2E04AF3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为分布式应用提供了完整的调用链路还原、调用请求量统计、链路拓扑、应用依赖分析等，能够帮助研发者快速分析和诊断分布式应用架构下的性能瓶颈，提高微服务时代下的开发诊断效率。</w:t>
            </w:r>
          </w:p>
        </w:tc>
        <w:tc>
          <w:tcPr>
            <w:tcW w:w="1171" w:type="dxa"/>
            <w:tcBorders>
              <w:top w:val="nil"/>
              <w:left w:val="nil"/>
              <w:bottom w:val="single" w:color="000000" w:sz="8" w:space="0"/>
              <w:right w:val="single" w:color="000000" w:sz="8" w:space="0"/>
            </w:tcBorders>
            <w:noWrap/>
            <w:vAlign w:val="center"/>
          </w:tcPr>
          <w:p w14:paraId="33FFD98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41D6715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7A670F7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27989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334C1BD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69</w:t>
            </w:r>
          </w:p>
        </w:tc>
        <w:tc>
          <w:tcPr>
            <w:tcW w:w="1995" w:type="dxa"/>
            <w:tcBorders>
              <w:top w:val="nil"/>
              <w:left w:val="nil"/>
              <w:bottom w:val="single" w:color="000000" w:sz="8" w:space="0"/>
              <w:right w:val="single" w:color="000000" w:sz="8" w:space="0"/>
            </w:tcBorders>
            <w:noWrap w:val="0"/>
            <w:vAlign w:val="center"/>
          </w:tcPr>
          <w:p w14:paraId="2354B87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1ACCBE6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39CE91F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一件事线下服务系统</w:t>
            </w:r>
          </w:p>
        </w:tc>
        <w:tc>
          <w:tcPr>
            <w:tcW w:w="4156" w:type="dxa"/>
            <w:tcBorders>
              <w:top w:val="nil"/>
              <w:left w:val="nil"/>
              <w:bottom w:val="single" w:color="000000" w:sz="8" w:space="0"/>
              <w:right w:val="single" w:color="000000" w:sz="8" w:space="0"/>
            </w:tcBorders>
            <w:noWrap w:val="0"/>
            <w:vAlign w:val="center"/>
          </w:tcPr>
          <w:p w14:paraId="6C74EAF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“一件事”综合分析展示系统</w:t>
            </w:r>
          </w:p>
        </w:tc>
        <w:tc>
          <w:tcPr>
            <w:tcW w:w="11040" w:type="dxa"/>
            <w:tcBorders>
              <w:top w:val="nil"/>
              <w:left w:val="nil"/>
              <w:bottom w:val="single" w:color="000000" w:sz="8" w:space="0"/>
              <w:right w:val="single" w:color="000000" w:sz="8" w:space="0"/>
            </w:tcBorders>
            <w:noWrap w:val="0"/>
            <w:vAlign w:val="center"/>
          </w:tcPr>
          <w:p w14:paraId="24ABB3F4">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实现“一件事”主题按时间、部门、区划等多维度进行数量、类型、办件量等统计分析的功能，主要提供运营数据的查询、统计分析及展示功能。</w:t>
            </w:r>
          </w:p>
        </w:tc>
        <w:tc>
          <w:tcPr>
            <w:tcW w:w="1171" w:type="dxa"/>
            <w:tcBorders>
              <w:top w:val="nil"/>
              <w:left w:val="nil"/>
              <w:bottom w:val="single" w:color="000000" w:sz="8" w:space="0"/>
              <w:right w:val="single" w:color="000000" w:sz="8" w:space="0"/>
            </w:tcBorders>
            <w:noWrap/>
            <w:vAlign w:val="center"/>
          </w:tcPr>
          <w:p w14:paraId="50D8EF3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64C0C1E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176AABB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5F572B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2658458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70</w:t>
            </w:r>
          </w:p>
        </w:tc>
        <w:tc>
          <w:tcPr>
            <w:tcW w:w="1995" w:type="dxa"/>
            <w:tcBorders>
              <w:top w:val="nil"/>
              <w:left w:val="nil"/>
              <w:bottom w:val="single" w:color="000000" w:sz="8" w:space="0"/>
              <w:right w:val="single" w:color="000000" w:sz="8" w:space="0"/>
            </w:tcBorders>
            <w:noWrap w:val="0"/>
            <w:vAlign w:val="center"/>
          </w:tcPr>
          <w:p w14:paraId="2116DC4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5A09B88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4D7CC8C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统一预约服务</w:t>
            </w:r>
          </w:p>
        </w:tc>
        <w:tc>
          <w:tcPr>
            <w:tcW w:w="4156" w:type="dxa"/>
            <w:tcBorders>
              <w:top w:val="nil"/>
              <w:left w:val="nil"/>
              <w:bottom w:val="single" w:color="000000" w:sz="8" w:space="0"/>
              <w:right w:val="single" w:color="000000" w:sz="8" w:space="0"/>
            </w:tcBorders>
            <w:noWrap w:val="0"/>
            <w:vAlign w:val="center"/>
          </w:tcPr>
          <w:p w14:paraId="2D6DB92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预约取号入口</w:t>
            </w:r>
          </w:p>
        </w:tc>
        <w:tc>
          <w:tcPr>
            <w:tcW w:w="11040" w:type="dxa"/>
            <w:tcBorders>
              <w:top w:val="nil"/>
              <w:left w:val="nil"/>
              <w:bottom w:val="single" w:color="000000" w:sz="8" w:space="0"/>
              <w:right w:val="single" w:color="000000" w:sz="8" w:space="0"/>
            </w:tcBorders>
            <w:noWrap w:val="0"/>
            <w:vAlign w:val="center"/>
          </w:tcPr>
          <w:p w14:paraId="7E152B91">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在网厅、移动、微信、自助服务一体机多端中新增预约取号入口，使办事群众可以通过该入口进行预约取号。</w:t>
            </w:r>
          </w:p>
        </w:tc>
        <w:tc>
          <w:tcPr>
            <w:tcW w:w="1171" w:type="dxa"/>
            <w:tcBorders>
              <w:top w:val="nil"/>
              <w:left w:val="nil"/>
              <w:bottom w:val="single" w:color="000000" w:sz="8" w:space="0"/>
              <w:right w:val="single" w:color="000000" w:sz="8" w:space="0"/>
            </w:tcBorders>
            <w:noWrap/>
            <w:vAlign w:val="center"/>
          </w:tcPr>
          <w:p w14:paraId="7E99AE6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26AACAC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01AA44F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19FD3D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0F8C297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71</w:t>
            </w:r>
          </w:p>
        </w:tc>
        <w:tc>
          <w:tcPr>
            <w:tcW w:w="1995" w:type="dxa"/>
            <w:tcBorders>
              <w:top w:val="nil"/>
              <w:left w:val="nil"/>
              <w:bottom w:val="single" w:color="000000" w:sz="8" w:space="0"/>
              <w:right w:val="single" w:color="000000" w:sz="8" w:space="0"/>
            </w:tcBorders>
            <w:noWrap w:val="0"/>
            <w:vAlign w:val="center"/>
          </w:tcPr>
          <w:p w14:paraId="6233796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67930D0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68705D8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统一预约服务</w:t>
            </w:r>
          </w:p>
        </w:tc>
        <w:tc>
          <w:tcPr>
            <w:tcW w:w="4156" w:type="dxa"/>
            <w:tcBorders>
              <w:top w:val="nil"/>
              <w:left w:val="nil"/>
              <w:bottom w:val="single" w:color="000000" w:sz="8" w:space="0"/>
              <w:right w:val="single" w:color="000000" w:sz="8" w:space="0"/>
            </w:tcBorders>
            <w:noWrap w:val="0"/>
            <w:vAlign w:val="center"/>
          </w:tcPr>
          <w:p w14:paraId="4E8BCF9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预约业务选择</w:t>
            </w:r>
          </w:p>
        </w:tc>
        <w:tc>
          <w:tcPr>
            <w:tcW w:w="11040" w:type="dxa"/>
            <w:tcBorders>
              <w:top w:val="nil"/>
              <w:left w:val="nil"/>
              <w:bottom w:val="single" w:color="000000" w:sz="8" w:space="0"/>
              <w:right w:val="single" w:color="000000" w:sz="8" w:space="0"/>
            </w:tcBorders>
            <w:noWrap w:val="0"/>
            <w:vAlign w:val="center"/>
          </w:tcPr>
          <w:p w14:paraId="6026795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用户选择需要预约办理的事项的部门，选择具体的办理业务后，可以查看事项的预约情况。</w:t>
            </w:r>
          </w:p>
        </w:tc>
        <w:tc>
          <w:tcPr>
            <w:tcW w:w="1171" w:type="dxa"/>
            <w:tcBorders>
              <w:top w:val="nil"/>
              <w:left w:val="nil"/>
              <w:bottom w:val="single" w:color="000000" w:sz="8" w:space="0"/>
              <w:right w:val="single" w:color="000000" w:sz="8" w:space="0"/>
            </w:tcBorders>
            <w:noWrap/>
            <w:vAlign w:val="center"/>
          </w:tcPr>
          <w:p w14:paraId="061AD9B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01D00AB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789FD2C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3E3087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41CDB1B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72</w:t>
            </w:r>
          </w:p>
        </w:tc>
        <w:tc>
          <w:tcPr>
            <w:tcW w:w="1995" w:type="dxa"/>
            <w:tcBorders>
              <w:top w:val="nil"/>
              <w:left w:val="nil"/>
              <w:bottom w:val="single" w:color="000000" w:sz="8" w:space="0"/>
              <w:right w:val="single" w:color="000000" w:sz="8" w:space="0"/>
            </w:tcBorders>
            <w:noWrap w:val="0"/>
            <w:vAlign w:val="center"/>
          </w:tcPr>
          <w:p w14:paraId="1A3C8F3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3A854CC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3138364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统一预约服务</w:t>
            </w:r>
          </w:p>
        </w:tc>
        <w:tc>
          <w:tcPr>
            <w:tcW w:w="4156" w:type="dxa"/>
            <w:tcBorders>
              <w:top w:val="nil"/>
              <w:left w:val="nil"/>
              <w:bottom w:val="single" w:color="000000" w:sz="8" w:space="0"/>
              <w:right w:val="single" w:color="000000" w:sz="8" w:space="0"/>
            </w:tcBorders>
            <w:noWrap w:val="0"/>
            <w:vAlign w:val="center"/>
          </w:tcPr>
          <w:p w14:paraId="33DD4DE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办理事项管理</w:t>
            </w:r>
          </w:p>
        </w:tc>
        <w:tc>
          <w:tcPr>
            <w:tcW w:w="11040" w:type="dxa"/>
            <w:tcBorders>
              <w:top w:val="nil"/>
              <w:left w:val="nil"/>
              <w:bottom w:val="single" w:color="000000" w:sz="8" w:space="0"/>
              <w:right w:val="single" w:color="000000" w:sz="8" w:space="0"/>
            </w:tcBorders>
            <w:noWrap w:val="0"/>
            <w:vAlign w:val="center"/>
          </w:tcPr>
          <w:p w14:paraId="2A7AF9B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承办单位工作人员可以自行关闭系统的事项预约功能。系统支持判定是否有已预约未办理的事项，若办事人在预约功能关闭前已经预约好，预约依然有效并支持办理。</w:t>
            </w:r>
          </w:p>
        </w:tc>
        <w:tc>
          <w:tcPr>
            <w:tcW w:w="1171" w:type="dxa"/>
            <w:tcBorders>
              <w:top w:val="nil"/>
              <w:left w:val="nil"/>
              <w:bottom w:val="single" w:color="000000" w:sz="8" w:space="0"/>
              <w:right w:val="single" w:color="000000" w:sz="8" w:space="0"/>
            </w:tcBorders>
            <w:noWrap/>
            <w:vAlign w:val="center"/>
          </w:tcPr>
          <w:p w14:paraId="587E525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17CC3D2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73651E0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7D5E9F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09AB863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73</w:t>
            </w:r>
          </w:p>
        </w:tc>
        <w:tc>
          <w:tcPr>
            <w:tcW w:w="1995" w:type="dxa"/>
            <w:tcBorders>
              <w:top w:val="nil"/>
              <w:left w:val="nil"/>
              <w:bottom w:val="single" w:color="000000" w:sz="8" w:space="0"/>
              <w:right w:val="single" w:color="000000" w:sz="8" w:space="0"/>
            </w:tcBorders>
            <w:noWrap w:val="0"/>
            <w:vAlign w:val="center"/>
          </w:tcPr>
          <w:p w14:paraId="3DBFBF4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754FE43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1AFF2F0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统一预约服务</w:t>
            </w:r>
          </w:p>
        </w:tc>
        <w:tc>
          <w:tcPr>
            <w:tcW w:w="4156" w:type="dxa"/>
            <w:tcBorders>
              <w:top w:val="nil"/>
              <w:left w:val="nil"/>
              <w:bottom w:val="single" w:color="000000" w:sz="8" w:space="0"/>
              <w:right w:val="single" w:color="000000" w:sz="8" w:space="0"/>
            </w:tcBorders>
            <w:noWrap w:val="0"/>
            <w:vAlign w:val="center"/>
          </w:tcPr>
          <w:p w14:paraId="53ACA28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预约日期选择</w:t>
            </w:r>
          </w:p>
        </w:tc>
        <w:tc>
          <w:tcPr>
            <w:tcW w:w="11040" w:type="dxa"/>
            <w:tcBorders>
              <w:top w:val="nil"/>
              <w:left w:val="nil"/>
              <w:bottom w:val="single" w:color="000000" w:sz="8" w:space="0"/>
              <w:right w:val="single" w:color="000000" w:sz="8" w:space="0"/>
            </w:tcBorders>
            <w:noWrap w:val="0"/>
            <w:vAlign w:val="center"/>
          </w:tcPr>
          <w:p w14:paraId="0969C2F9">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系统可以预约周一至周日相应时间段的办理业务，支持预约48小时后的事项办理。例如：办事人在周一能预约事项办理的时间为周三至周日。</w:t>
            </w:r>
          </w:p>
        </w:tc>
        <w:tc>
          <w:tcPr>
            <w:tcW w:w="1171" w:type="dxa"/>
            <w:tcBorders>
              <w:top w:val="nil"/>
              <w:left w:val="nil"/>
              <w:bottom w:val="single" w:color="000000" w:sz="8" w:space="0"/>
              <w:right w:val="single" w:color="000000" w:sz="8" w:space="0"/>
            </w:tcBorders>
            <w:noWrap/>
            <w:vAlign w:val="center"/>
          </w:tcPr>
          <w:p w14:paraId="6405839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2282267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1A4F128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6DE83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2BC6378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74</w:t>
            </w:r>
          </w:p>
        </w:tc>
        <w:tc>
          <w:tcPr>
            <w:tcW w:w="1995" w:type="dxa"/>
            <w:tcBorders>
              <w:top w:val="nil"/>
              <w:left w:val="nil"/>
              <w:bottom w:val="single" w:color="000000" w:sz="8" w:space="0"/>
              <w:right w:val="single" w:color="000000" w:sz="8" w:space="0"/>
            </w:tcBorders>
            <w:noWrap w:val="0"/>
            <w:vAlign w:val="center"/>
          </w:tcPr>
          <w:p w14:paraId="12A0D35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076A213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556399A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统一预约服务</w:t>
            </w:r>
          </w:p>
        </w:tc>
        <w:tc>
          <w:tcPr>
            <w:tcW w:w="4156" w:type="dxa"/>
            <w:tcBorders>
              <w:top w:val="nil"/>
              <w:left w:val="nil"/>
              <w:bottom w:val="single" w:color="000000" w:sz="8" w:space="0"/>
              <w:right w:val="single" w:color="000000" w:sz="8" w:space="0"/>
            </w:tcBorders>
            <w:noWrap w:val="0"/>
            <w:vAlign w:val="center"/>
          </w:tcPr>
          <w:p w14:paraId="4DD5A1A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预约时间段选择</w:t>
            </w:r>
          </w:p>
        </w:tc>
        <w:tc>
          <w:tcPr>
            <w:tcW w:w="11040" w:type="dxa"/>
            <w:tcBorders>
              <w:top w:val="nil"/>
              <w:left w:val="nil"/>
              <w:bottom w:val="single" w:color="000000" w:sz="8" w:space="0"/>
              <w:right w:val="single" w:color="000000" w:sz="8" w:space="0"/>
            </w:tcBorders>
            <w:noWrap w:val="0"/>
            <w:vAlign w:val="center"/>
          </w:tcPr>
          <w:p w14:paraId="1CC29B04">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工作人员可以对每个时间内的预约数量设置上限，上限数量由单位规定。系统支持对不同的单位设置不同的预约上限数量。</w:t>
            </w:r>
          </w:p>
        </w:tc>
        <w:tc>
          <w:tcPr>
            <w:tcW w:w="1171" w:type="dxa"/>
            <w:tcBorders>
              <w:top w:val="nil"/>
              <w:left w:val="nil"/>
              <w:bottom w:val="single" w:color="000000" w:sz="8" w:space="0"/>
              <w:right w:val="single" w:color="000000" w:sz="8" w:space="0"/>
            </w:tcBorders>
            <w:noWrap/>
            <w:vAlign w:val="center"/>
          </w:tcPr>
          <w:p w14:paraId="333877E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57945F7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488FE92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533074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502606B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75</w:t>
            </w:r>
          </w:p>
        </w:tc>
        <w:tc>
          <w:tcPr>
            <w:tcW w:w="1995" w:type="dxa"/>
            <w:tcBorders>
              <w:top w:val="nil"/>
              <w:left w:val="nil"/>
              <w:bottom w:val="single" w:color="000000" w:sz="8" w:space="0"/>
              <w:right w:val="single" w:color="000000" w:sz="8" w:space="0"/>
            </w:tcBorders>
            <w:noWrap w:val="0"/>
            <w:vAlign w:val="center"/>
          </w:tcPr>
          <w:p w14:paraId="42DF466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12812E4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1BE2844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统一预约服务</w:t>
            </w:r>
          </w:p>
        </w:tc>
        <w:tc>
          <w:tcPr>
            <w:tcW w:w="4156" w:type="dxa"/>
            <w:tcBorders>
              <w:top w:val="nil"/>
              <w:left w:val="nil"/>
              <w:bottom w:val="single" w:color="000000" w:sz="8" w:space="0"/>
              <w:right w:val="single" w:color="000000" w:sz="8" w:space="0"/>
            </w:tcBorders>
            <w:noWrap w:val="0"/>
            <w:vAlign w:val="center"/>
          </w:tcPr>
          <w:p w14:paraId="3D17AE2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基本信息填写</w:t>
            </w:r>
          </w:p>
        </w:tc>
        <w:tc>
          <w:tcPr>
            <w:tcW w:w="11040" w:type="dxa"/>
            <w:tcBorders>
              <w:top w:val="nil"/>
              <w:left w:val="nil"/>
              <w:bottom w:val="single" w:color="000000" w:sz="8" w:space="0"/>
              <w:right w:val="single" w:color="000000" w:sz="8" w:space="0"/>
            </w:tcBorders>
            <w:noWrap w:val="0"/>
            <w:vAlign w:val="center"/>
          </w:tcPr>
          <w:p w14:paraId="0C8D9739">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对已经注册过的登录用户，系统支持复用用户基本信息，可以自动将用户注册时填写的相关信息填入预约信息中。</w:t>
            </w:r>
          </w:p>
        </w:tc>
        <w:tc>
          <w:tcPr>
            <w:tcW w:w="1171" w:type="dxa"/>
            <w:tcBorders>
              <w:top w:val="nil"/>
              <w:left w:val="nil"/>
              <w:bottom w:val="single" w:color="000000" w:sz="8" w:space="0"/>
              <w:right w:val="single" w:color="000000" w:sz="8" w:space="0"/>
            </w:tcBorders>
            <w:noWrap/>
            <w:vAlign w:val="center"/>
          </w:tcPr>
          <w:p w14:paraId="5EA70C0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43BCF12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776ECD2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56065D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54BB6C7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76</w:t>
            </w:r>
          </w:p>
        </w:tc>
        <w:tc>
          <w:tcPr>
            <w:tcW w:w="1995" w:type="dxa"/>
            <w:tcBorders>
              <w:top w:val="nil"/>
              <w:left w:val="nil"/>
              <w:bottom w:val="single" w:color="000000" w:sz="8" w:space="0"/>
              <w:right w:val="single" w:color="000000" w:sz="8" w:space="0"/>
            </w:tcBorders>
            <w:noWrap w:val="0"/>
            <w:vAlign w:val="center"/>
          </w:tcPr>
          <w:p w14:paraId="7449DA8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60AB917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65C393B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统一预约服务</w:t>
            </w:r>
          </w:p>
        </w:tc>
        <w:tc>
          <w:tcPr>
            <w:tcW w:w="4156" w:type="dxa"/>
            <w:tcBorders>
              <w:top w:val="nil"/>
              <w:left w:val="nil"/>
              <w:bottom w:val="single" w:color="000000" w:sz="8" w:space="0"/>
              <w:right w:val="single" w:color="000000" w:sz="8" w:space="0"/>
            </w:tcBorders>
            <w:noWrap w:val="0"/>
            <w:vAlign w:val="center"/>
          </w:tcPr>
          <w:p w14:paraId="2810045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预约申请提交</w:t>
            </w:r>
          </w:p>
        </w:tc>
        <w:tc>
          <w:tcPr>
            <w:tcW w:w="11040" w:type="dxa"/>
            <w:tcBorders>
              <w:top w:val="nil"/>
              <w:left w:val="nil"/>
              <w:bottom w:val="single" w:color="000000" w:sz="8" w:space="0"/>
              <w:right w:val="single" w:color="000000" w:sz="8" w:space="0"/>
            </w:tcBorders>
            <w:noWrap w:val="0"/>
            <w:vAlign w:val="center"/>
          </w:tcPr>
          <w:p w14:paraId="08AEAE89">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对预约成功的，系统会发送预约成功短信；系统支持在离预约办理时间13小时发送办理短信提示；超过预约时间段未办理的，系统会发送失约短信。</w:t>
            </w:r>
          </w:p>
        </w:tc>
        <w:tc>
          <w:tcPr>
            <w:tcW w:w="1171" w:type="dxa"/>
            <w:tcBorders>
              <w:top w:val="nil"/>
              <w:left w:val="nil"/>
              <w:bottom w:val="single" w:color="000000" w:sz="8" w:space="0"/>
              <w:right w:val="single" w:color="000000" w:sz="8" w:space="0"/>
            </w:tcBorders>
            <w:noWrap/>
            <w:vAlign w:val="center"/>
          </w:tcPr>
          <w:p w14:paraId="114E1AF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66FBCC1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639FD12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190A23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1370703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77</w:t>
            </w:r>
          </w:p>
        </w:tc>
        <w:tc>
          <w:tcPr>
            <w:tcW w:w="1995" w:type="dxa"/>
            <w:tcBorders>
              <w:top w:val="nil"/>
              <w:left w:val="nil"/>
              <w:bottom w:val="single" w:color="000000" w:sz="8" w:space="0"/>
              <w:right w:val="single" w:color="000000" w:sz="8" w:space="0"/>
            </w:tcBorders>
            <w:noWrap w:val="0"/>
            <w:vAlign w:val="center"/>
          </w:tcPr>
          <w:p w14:paraId="232ADED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7F37408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4FFC65C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统一预约服务</w:t>
            </w:r>
          </w:p>
        </w:tc>
        <w:tc>
          <w:tcPr>
            <w:tcW w:w="4156" w:type="dxa"/>
            <w:tcBorders>
              <w:top w:val="nil"/>
              <w:left w:val="nil"/>
              <w:bottom w:val="single" w:color="000000" w:sz="8" w:space="0"/>
              <w:right w:val="single" w:color="000000" w:sz="8" w:space="0"/>
            </w:tcBorders>
            <w:noWrap w:val="0"/>
            <w:vAlign w:val="center"/>
          </w:tcPr>
          <w:p w14:paraId="7562B1F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预约信息查询</w:t>
            </w:r>
          </w:p>
        </w:tc>
        <w:tc>
          <w:tcPr>
            <w:tcW w:w="11040" w:type="dxa"/>
            <w:tcBorders>
              <w:top w:val="nil"/>
              <w:left w:val="nil"/>
              <w:bottom w:val="single" w:color="000000" w:sz="8" w:space="0"/>
              <w:right w:val="single" w:color="000000" w:sz="8" w:space="0"/>
            </w:tcBorders>
            <w:noWrap w:val="0"/>
            <w:vAlign w:val="center"/>
          </w:tcPr>
          <w:p w14:paraId="5F76B2F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若客户预约了未安装取号机的单位，会存在无法取号导致状态为“失约”，若客户已经前往办理，办理单位工作人员可将 “失约”状态修改为“正常”。</w:t>
            </w:r>
          </w:p>
        </w:tc>
        <w:tc>
          <w:tcPr>
            <w:tcW w:w="1171" w:type="dxa"/>
            <w:tcBorders>
              <w:top w:val="nil"/>
              <w:left w:val="nil"/>
              <w:bottom w:val="single" w:color="000000" w:sz="8" w:space="0"/>
              <w:right w:val="single" w:color="000000" w:sz="8" w:space="0"/>
            </w:tcBorders>
            <w:noWrap/>
            <w:vAlign w:val="center"/>
          </w:tcPr>
          <w:p w14:paraId="403A3D4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2EE1B1B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1859E51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53494B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4" w:hRule="atLeast"/>
        </w:trPr>
        <w:tc>
          <w:tcPr>
            <w:tcW w:w="750" w:type="dxa"/>
            <w:tcBorders>
              <w:top w:val="nil"/>
              <w:left w:val="single" w:color="000000" w:sz="8" w:space="0"/>
              <w:bottom w:val="single" w:color="000000" w:sz="8" w:space="0"/>
              <w:right w:val="single" w:color="000000" w:sz="8" w:space="0"/>
            </w:tcBorders>
            <w:noWrap/>
            <w:vAlign w:val="center"/>
          </w:tcPr>
          <w:p w14:paraId="7DF6B49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78</w:t>
            </w:r>
          </w:p>
        </w:tc>
        <w:tc>
          <w:tcPr>
            <w:tcW w:w="1995" w:type="dxa"/>
            <w:tcBorders>
              <w:top w:val="nil"/>
              <w:left w:val="nil"/>
              <w:bottom w:val="single" w:color="000000" w:sz="8" w:space="0"/>
              <w:right w:val="single" w:color="000000" w:sz="8" w:space="0"/>
            </w:tcBorders>
            <w:noWrap w:val="0"/>
            <w:vAlign w:val="center"/>
          </w:tcPr>
          <w:p w14:paraId="6B169FB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6440DF2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05988B6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统一预约服务</w:t>
            </w:r>
          </w:p>
        </w:tc>
        <w:tc>
          <w:tcPr>
            <w:tcW w:w="4156" w:type="dxa"/>
            <w:tcBorders>
              <w:top w:val="nil"/>
              <w:left w:val="nil"/>
              <w:bottom w:val="single" w:color="000000" w:sz="8" w:space="0"/>
              <w:right w:val="single" w:color="000000" w:sz="8" w:space="0"/>
            </w:tcBorders>
            <w:noWrap w:val="0"/>
            <w:vAlign w:val="center"/>
          </w:tcPr>
          <w:p w14:paraId="0A16859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排队情况展示</w:t>
            </w:r>
          </w:p>
        </w:tc>
        <w:tc>
          <w:tcPr>
            <w:tcW w:w="11040" w:type="dxa"/>
            <w:tcBorders>
              <w:top w:val="nil"/>
              <w:left w:val="nil"/>
              <w:bottom w:val="single" w:color="000000" w:sz="8" w:space="0"/>
              <w:right w:val="single" w:color="000000" w:sz="8" w:space="0"/>
            </w:tcBorders>
            <w:noWrap w:val="0"/>
            <w:vAlign w:val="center"/>
          </w:tcPr>
          <w:p w14:paraId="3004A06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通过与排队叫号系统建立统一的数据交换标准，开放数据接口，将排队系统中的数据获取到预约系统。用户在预约后，可查看大厅内实时排队进展。包括查看窗口数、等待人数、今日取号、今日受理和排队情况实时推送。</w:t>
            </w:r>
          </w:p>
        </w:tc>
        <w:tc>
          <w:tcPr>
            <w:tcW w:w="1171" w:type="dxa"/>
            <w:tcBorders>
              <w:top w:val="nil"/>
              <w:left w:val="nil"/>
              <w:bottom w:val="single" w:color="000000" w:sz="8" w:space="0"/>
              <w:right w:val="single" w:color="000000" w:sz="8" w:space="0"/>
            </w:tcBorders>
            <w:noWrap/>
            <w:vAlign w:val="center"/>
          </w:tcPr>
          <w:p w14:paraId="3577A1F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3CE94BE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6A5BA42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45F9E8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377" w:hRule="atLeast"/>
        </w:trPr>
        <w:tc>
          <w:tcPr>
            <w:tcW w:w="750" w:type="dxa"/>
            <w:tcBorders>
              <w:top w:val="nil"/>
              <w:left w:val="single" w:color="000000" w:sz="8" w:space="0"/>
              <w:bottom w:val="single" w:color="000000" w:sz="8" w:space="0"/>
              <w:right w:val="single" w:color="000000" w:sz="8" w:space="0"/>
            </w:tcBorders>
            <w:noWrap/>
            <w:vAlign w:val="center"/>
          </w:tcPr>
          <w:p w14:paraId="2D68703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79</w:t>
            </w:r>
          </w:p>
        </w:tc>
        <w:tc>
          <w:tcPr>
            <w:tcW w:w="1995" w:type="dxa"/>
            <w:tcBorders>
              <w:top w:val="nil"/>
              <w:left w:val="nil"/>
              <w:bottom w:val="single" w:color="000000" w:sz="8" w:space="0"/>
              <w:right w:val="single" w:color="000000" w:sz="8" w:space="0"/>
            </w:tcBorders>
            <w:noWrap w:val="0"/>
            <w:vAlign w:val="center"/>
          </w:tcPr>
          <w:p w14:paraId="01328C1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79AAB79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6DF80C7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排队叫号系统</w:t>
            </w:r>
          </w:p>
        </w:tc>
        <w:tc>
          <w:tcPr>
            <w:tcW w:w="4156" w:type="dxa"/>
            <w:tcBorders>
              <w:top w:val="nil"/>
              <w:left w:val="nil"/>
              <w:bottom w:val="single" w:color="000000" w:sz="8" w:space="0"/>
              <w:right w:val="single" w:color="000000" w:sz="8" w:space="0"/>
            </w:tcBorders>
            <w:noWrap w:val="0"/>
            <w:vAlign w:val="center"/>
          </w:tcPr>
          <w:p w14:paraId="3611F00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信息采集</w:t>
            </w:r>
          </w:p>
        </w:tc>
        <w:tc>
          <w:tcPr>
            <w:tcW w:w="11040" w:type="dxa"/>
            <w:tcBorders>
              <w:top w:val="nil"/>
              <w:left w:val="nil"/>
              <w:bottom w:val="single" w:color="000000" w:sz="8" w:space="0"/>
              <w:right w:val="single" w:color="000000" w:sz="8" w:space="0"/>
            </w:tcBorders>
            <w:noWrap w:val="0"/>
            <w:vAlign w:val="center"/>
          </w:tcPr>
          <w:p w14:paraId="02B50B5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办事群众首次在实体大厅办理业务时，系统会提示办事群众在取号终端的身份证识别区刷身份证或进行人脸识别认证，系统自动获取办事群众姓名、身份证号相关信息，同时系统还将要求办事群众提供相应的联系方式（手机号码），以便后期为办事群众提供全流程业务信息智能推送服务。</w:t>
            </w:r>
          </w:p>
        </w:tc>
        <w:tc>
          <w:tcPr>
            <w:tcW w:w="1171" w:type="dxa"/>
            <w:tcBorders>
              <w:top w:val="nil"/>
              <w:left w:val="nil"/>
              <w:bottom w:val="single" w:color="000000" w:sz="8" w:space="0"/>
              <w:right w:val="single" w:color="000000" w:sz="8" w:space="0"/>
            </w:tcBorders>
            <w:noWrap/>
            <w:vAlign w:val="center"/>
          </w:tcPr>
          <w:p w14:paraId="7EB7869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29580C4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3468202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52F8099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3FA6153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80</w:t>
            </w:r>
          </w:p>
        </w:tc>
        <w:tc>
          <w:tcPr>
            <w:tcW w:w="1995" w:type="dxa"/>
            <w:tcBorders>
              <w:top w:val="nil"/>
              <w:left w:val="nil"/>
              <w:bottom w:val="single" w:color="000000" w:sz="8" w:space="0"/>
              <w:right w:val="single" w:color="000000" w:sz="8" w:space="0"/>
            </w:tcBorders>
            <w:noWrap w:val="0"/>
            <w:vAlign w:val="center"/>
          </w:tcPr>
          <w:p w14:paraId="46A069F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64E4124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592A777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排队叫号系统</w:t>
            </w:r>
          </w:p>
        </w:tc>
        <w:tc>
          <w:tcPr>
            <w:tcW w:w="4156" w:type="dxa"/>
            <w:tcBorders>
              <w:top w:val="nil"/>
              <w:left w:val="nil"/>
              <w:bottom w:val="single" w:color="000000" w:sz="8" w:space="0"/>
              <w:right w:val="single" w:color="000000" w:sz="8" w:space="0"/>
            </w:tcBorders>
            <w:noWrap w:val="0"/>
            <w:vAlign w:val="center"/>
          </w:tcPr>
          <w:p w14:paraId="1854FD2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预约取号</w:t>
            </w:r>
          </w:p>
        </w:tc>
        <w:tc>
          <w:tcPr>
            <w:tcW w:w="11040" w:type="dxa"/>
            <w:tcBorders>
              <w:top w:val="nil"/>
              <w:left w:val="nil"/>
              <w:bottom w:val="single" w:color="000000" w:sz="8" w:space="0"/>
              <w:right w:val="single" w:color="000000" w:sz="8" w:space="0"/>
            </w:tcBorders>
            <w:noWrap w:val="0"/>
            <w:vAlign w:val="center"/>
          </w:tcPr>
          <w:p w14:paraId="4B259FC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办事群众可以在线上提前取号预约，到达现场后在排队取号终端上进行预约取号操作。办事群众可以通过刷身份证的方式完成取号操作。</w:t>
            </w:r>
          </w:p>
        </w:tc>
        <w:tc>
          <w:tcPr>
            <w:tcW w:w="1171" w:type="dxa"/>
            <w:tcBorders>
              <w:top w:val="nil"/>
              <w:left w:val="nil"/>
              <w:bottom w:val="single" w:color="000000" w:sz="8" w:space="0"/>
              <w:right w:val="single" w:color="000000" w:sz="8" w:space="0"/>
            </w:tcBorders>
            <w:noWrap/>
            <w:vAlign w:val="center"/>
          </w:tcPr>
          <w:p w14:paraId="1884DF3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5AD43A9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5AE44F4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42317E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78" w:hRule="atLeast"/>
        </w:trPr>
        <w:tc>
          <w:tcPr>
            <w:tcW w:w="750" w:type="dxa"/>
            <w:tcBorders>
              <w:top w:val="nil"/>
              <w:left w:val="single" w:color="000000" w:sz="8" w:space="0"/>
              <w:bottom w:val="single" w:color="000000" w:sz="8" w:space="0"/>
              <w:right w:val="single" w:color="000000" w:sz="8" w:space="0"/>
            </w:tcBorders>
            <w:noWrap/>
            <w:vAlign w:val="center"/>
          </w:tcPr>
          <w:p w14:paraId="3B848BA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81</w:t>
            </w:r>
          </w:p>
        </w:tc>
        <w:tc>
          <w:tcPr>
            <w:tcW w:w="1995" w:type="dxa"/>
            <w:tcBorders>
              <w:top w:val="nil"/>
              <w:left w:val="nil"/>
              <w:bottom w:val="single" w:color="000000" w:sz="8" w:space="0"/>
              <w:right w:val="single" w:color="000000" w:sz="8" w:space="0"/>
            </w:tcBorders>
            <w:noWrap w:val="0"/>
            <w:vAlign w:val="center"/>
          </w:tcPr>
          <w:p w14:paraId="55C4803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6613153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27D3EF4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排队叫号系统</w:t>
            </w:r>
          </w:p>
        </w:tc>
        <w:tc>
          <w:tcPr>
            <w:tcW w:w="4156" w:type="dxa"/>
            <w:tcBorders>
              <w:top w:val="nil"/>
              <w:left w:val="nil"/>
              <w:bottom w:val="single" w:color="000000" w:sz="8" w:space="0"/>
              <w:right w:val="single" w:color="000000" w:sz="8" w:space="0"/>
            </w:tcBorders>
            <w:noWrap w:val="0"/>
            <w:vAlign w:val="center"/>
          </w:tcPr>
          <w:p w14:paraId="376B82B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现场取号</w:t>
            </w:r>
          </w:p>
        </w:tc>
        <w:tc>
          <w:tcPr>
            <w:tcW w:w="11040" w:type="dxa"/>
            <w:tcBorders>
              <w:top w:val="nil"/>
              <w:left w:val="nil"/>
              <w:bottom w:val="single" w:color="000000" w:sz="8" w:space="0"/>
              <w:right w:val="single" w:color="000000" w:sz="8" w:space="0"/>
            </w:tcBorders>
            <w:noWrap w:val="0"/>
            <w:vAlign w:val="center"/>
          </w:tcPr>
          <w:p w14:paraId="34CD8B7E">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办事群众在排队取号终端上通过刷身份证方式完成排队取号操作后，排队取号终端将打印排队叫号单，并提醒办事群众取出排队叫号单。排队叫号单上会显示窗口号、办理业务、排队号、前方等待人数和二维码信息，办事群众通过扫描二维码，即可实时获取当前排队进度和自助取件服务信息。</w:t>
            </w:r>
          </w:p>
        </w:tc>
        <w:tc>
          <w:tcPr>
            <w:tcW w:w="1171" w:type="dxa"/>
            <w:tcBorders>
              <w:top w:val="nil"/>
              <w:left w:val="nil"/>
              <w:bottom w:val="single" w:color="000000" w:sz="8" w:space="0"/>
              <w:right w:val="single" w:color="000000" w:sz="8" w:space="0"/>
            </w:tcBorders>
            <w:noWrap/>
            <w:vAlign w:val="center"/>
          </w:tcPr>
          <w:p w14:paraId="383A341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6526D60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5653641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6D4570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74455A6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82</w:t>
            </w:r>
          </w:p>
        </w:tc>
        <w:tc>
          <w:tcPr>
            <w:tcW w:w="1995" w:type="dxa"/>
            <w:tcBorders>
              <w:top w:val="nil"/>
              <w:left w:val="nil"/>
              <w:bottom w:val="single" w:color="000000" w:sz="8" w:space="0"/>
              <w:right w:val="single" w:color="000000" w:sz="8" w:space="0"/>
            </w:tcBorders>
            <w:noWrap w:val="0"/>
            <w:vAlign w:val="center"/>
          </w:tcPr>
          <w:p w14:paraId="0B359BE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00DB890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4BAAB0D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排队叫号系统</w:t>
            </w:r>
          </w:p>
        </w:tc>
        <w:tc>
          <w:tcPr>
            <w:tcW w:w="4156" w:type="dxa"/>
            <w:tcBorders>
              <w:top w:val="nil"/>
              <w:left w:val="nil"/>
              <w:bottom w:val="single" w:color="000000" w:sz="8" w:space="0"/>
              <w:right w:val="single" w:color="000000" w:sz="8" w:space="0"/>
            </w:tcBorders>
            <w:noWrap w:val="0"/>
            <w:vAlign w:val="center"/>
          </w:tcPr>
          <w:p w14:paraId="619D8C4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窗口叫号</w:t>
            </w:r>
          </w:p>
        </w:tc>
        <w:tc>
          <w:tcPr>
            <w:tcW w:w="11040" w:type="dxa"/>
            <w:tcBorders>
              <w:top w:val="nil"/>
              <w:left w:val="nil"/>
              <w:bottom w:val="single" w:color="000000" w:sz="8" w:space="0"/>
              <w:right w:val="single" w:color="000000" w:sz="8" w:space="0"/>
            </w:tcBorders>
            <w:noWrap w:val="0"/>
            <w:vAlign w:val="center"/>
          </w:tcPr>
          <w:p w14:paraId="23FE51A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窗口工作人员可在系统中进行叫号，包括呼叫、重呼、下一位、过号功能。系统还显示当前叫号的号码、等待人数信息，方便窗口人员了解排队叫号的相关信息。</w:t>
            </w:r>
          </w:p>
        </w:tc>
        <w:tc>
          <w:tcPr>
            <w:tcW w:w="1171" w:type="dxa"/>
            <w:tcBorders>
              <w:top w:val="nil"/>
              <w:left w:val="nil"/>
              <w:bottom w:val="single" w:color="000000" w:sz="8" w:space="0"/>
              <w:right w:val="single" w:color="000000" w:sz="8" w:space="0"/>
            </w:tcBorders>
            <w:noWrap/>
            <w:vAlign w:val="center"/>
          </w:tcPr>
          <w:p w14:paraId="4D27745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024D52D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194EE63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0830D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93" w:hRule="atLeast"/>
        </w:trPr>
        <w:tc>
          <w:tcPr>
            <w:tcW w:w="750" w:type="dxa"/>
            <w:tcBorders>
              <w:top w:val="nil"/>
              <w:left w:val="single" w:color="000000" w:sz="8" w:space="0"/>
              <w:bottom w:val="single" w:color="000000" w:sz="8" w:space="0"/>
              <w:right w:val="single" w:color="000000" w:sz="8" w:space="0"/>
            </w:tcBorders>
            <w:noWrap/>
            <w:vAlign w:val="center"/>
          </w:tcPr>
          <w:p w14:paraId="201D782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83</w:t>
            </w:r>
          </w:p>
        </w:tc>
        <w:tc>
          <w:tcPr>
            <w:tcW w:w="1995" w:type="dxa"/>
            <w:tcBorders>
              <w:top w:val="nil"/>
              <w:left w:val="nil"/>
              <w:bottom w:val="single" w:color="000000" w:sz="8" w:space="0"/>
              <w:right w:val="single" w:color="000000" w:sz="8" w:space="0"/>
            </w:tcBorders>
            <w:noWrap w:val="0"/>
            <w:vAlign w:val="center"/>
          </w:tcPr>
          <w:p w14:paraId="77B913A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23848BD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7CC5427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排队叫号系统</w:t>
            </w:r>
          </w:p>
        </w:tc>
        <w:tc>
          <w:tcPr>
            <w:tcW w:w="4156" w:type="dxa"/>
            <w:tcBorders>
              <w:top w:val="nil"/>
              <w:left w:val="nil"/>
              <w:bottom w:val="single" w:color="000000" w:sz="8" w:space="0"/>
              <w:right w:val="single" w:color="000000" w:sz="8" w:space="0"/>
            </w:tcBorders>
            <w:noWrap w:val="0"/>
            <w:vAlign w:val="center"/>
          </w:tcPr>
          <w:p w14:paraId="1FF0A5D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叫号提醒</w:t>
            </w:r>
          </w:p>
        </w:tc>
        <w:tc>
          <w:tcPr>
            <w:tcW w:w="11040" w:type="dxa"/>
            <w:tcBorders>
              <w:top w:val="nil"/>
              <w:left w:val="nil"/>
              <w:bottom w:val="single" w:color="000000" w:sz="8" w:space="0"/>
              <w:right w:val="single" w:color="000000" w:sz="8" w:space="0"/>
            </w:tcBorders>
            <w:noWrap w:val="0"/>
            <w:vAlign w:val="center"/>
          </w:tcPr>
          <w:p w14:paraId="3368DBB3">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政务服务大厅排队呼叫方式以短信推送或大厅广播呼叫为主，当窗口进行呼叫时，被呼叫的办事群众会收到提醒消息、广播叫号提醒，提醒办事群众到相应窗口办理业务。</w:t>
            </w:r>
          </w:p>
        </w:tc>
        <w:tc>
          <w:tcPr>
            <w:tcW w:w="1171" w:type="dxa"/>
            <w:tcBorders>
              <w:top w:val="nil"/>
              <w:left w:val="nil"/>
              <w:bottom w:val="single" w:color="000000" w:sz="8" w:space="0"/>
              <w:right w:val="single" w:color="000000" w:sz="8" w:space="0"/>
            </w:tcBorders>
            <w:noWrap/>
            <w:vAlign w:val="center"/>
          </w:tcPr>
          <w:p w14:paraId="7D15B64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401119D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1144FC4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30F8F2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3" w:hRule="atLeast"/>
        </w:trPr>
        <w:tc>
          <w:tcPr>
            <w:tcW w:w="750" w:type="dxa"/>
            <w:tcBorders>
              <w:top w:val="nil"/>
              <w:left w:val="single" w:color="000000" w:sz="8" w:space="0"/>
              <w:bottom w:val="single" w:color="000000" w:sz="8" w:space="0"/>
              <w:right w:val="single" w:color="000000" w:sz="8" w:space="0"/>
            </w:tcBorders>
            <w:noWrap/>
            <w:vAlign w:val="center"/>
          </w:tcPr>
          <w:p w14:paraId="6057506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84</w:t>
            </w:r>
          </w:p>
        </w:tc>
        <w:tc>
          <w:tcPr>
            <w:tcW w:w="1995" w:type="dxa"/>
            <w:tcBorders>
              <w:top w:val="nil"/>
              <w:left w:val="nil"/>
              <w:bottom w:val="single" w:color="000000" w:sz="8" w:space="0"/>
              <w:right w:val="single" w:color="000000" w:sz="8" w:space="0"/>
            </w:tcBorders>
            <w:noWrap w:val="0"/>
            <w:vAlign w:val="center"/>
          </w:tcPr>
          <w:p w14:paraId="5CD5908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16B7F87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080CCBA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排队叫号系统</w:t>
            </w:r>
          </w:p>
        </w:tc>
        <w:tc>
          <w:tcPr>
            <w:tcW w:w="4156" w:type="dxa"/>
            <w:tcBorders>
              <w:top w:val="nil"/>
              <w:left w:val="nil"/>
              <w:bottom w:val="single" w:color="000000" w:sz="8" w:space="0"/>
              <w:right w:val="single" w:color="000000" w:sz="8" w:space="0"/>
            </w:tcBorders>
            <w:noWrap w:val="0"/>
            <w:vAlign w:val="center"/>
          </w:tcPr>
          <w:p w14:paraId="547AF61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排队预警</w:t>
            </w:r>
          </w:p>
        </w:tc>
        <w:tc>
          <w:tcPr>
            <w:tcW w:w="11040" w:type="dxa"/>
            <w:tcBorders>
              <w:top w:val="nil"/>
              <w:left w:val="nil"/>
              <w:bottom w:val="single" w:color="000000" w:sz="8" w:space="0"/>
              <w:right w:val="single" w:color="000000" w:sz="8" w:space="0"/>
            </w:tcBorders>
            <w:noWrap w:val="0"/>
            <w:vAlign w:val="center"/>
          </w:tcPr>
          <w:p w14:paraId="31C1F60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系统可根据办事群众所要办理业务的平均办理时长，计算出当前号段的大概等待时间，打印在排队叫号单上，以便让办事群众合理地进行时间分配，提高办事群众的办事效率和优化大厅的整体办事秩序。</w:t>
            </w:r>
          </w:p>
        </w:tc>
        <w:tc>
          <w:tcPr>
            <w:tcW w:w="1171" w:type="dxa"/>
            <w:tcBorders>
              <w:top w:val="nil"/>
              <w:left w:val="nil"/>
              <w:bottom w:val="single" w:color="000000" w:sz="8" w:space="0"/>
              <w:right w:val="single" w:color="000000" w:sz="8" w:space="0"/>
            </w:tcBorders>
            <w:noWrap/>
            <w:vAlign w:val="center"/>
          </w:tcPr>
          <w:p w14:paraId="1F5774B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6A73B22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474A6BE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3293D5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73" w:hRule="atLeast"/>
        </w:trPr>
        <w:tc>
          <w:tcPr>
            <w:tcW w:w="750" w:type="dxa"/>
            <w:tcBorders>
              <w:top w:val="nil"/>
              <w:left w:val="single" w:color="000000" w:sz="8" w:space="0"/>
              <w:bottom w:val="single" w:color="000000" w:sz="8" w:space="0"/>
              <w:right w:val="single" w:color="000000" w:sz="8" w:space="0"/>
            </w:tcBorders>
            <w:noWrap/>
            <w:vAlign w:val="center"/>
          </w:tcPr>
          <w:p w14:paraId="1598799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85</w:t>
            </w:r>
          </w:p>
        </w:tc>
        <w:tc>
          <w:tcPr>
            <w:tcW w:w="1995" w:type="dxa"/>
            <w:tcBorders>
              <w:top w:val="nil"/>
              <w:left w:val="nil"/>
              <w:bottom w:val="single" w:color="000000" w:sz="8" w:space="0"/>
              <w:right w:val="single" w:color="000000" w:sz="8" w:space="0"/>
            </w:tcBorders>
            <w:noWrap w:val="0"/>
            <w:vAlign w:val="center"/>
          </w:tcPr>
          <w:p w14:paraId="7435677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7423F23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13448C4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排队叫号系统</w:t>
            </w:r>
          </w:p>
        </w:tc>
        <w:tc>
          <w:tcPr>
            <w:tcW w:w="4156" w:type="dxa"/>
            <w:tcBorders>
              <w:top w:val="nil"/>
              <w:left w:val="nil"/>
              <w:bottom w:val="single" w:color="000000" w:sz="8" w:space="0"/>
              <w:right w:val="single" w:color="000000" w:sz="8" w:space="0"/>
            </w:tcBorders>
            <w:noWrap w:val="0"/>
            <w:vAlign w:val="center"/>
          </w:tcPr>
          <w:p w14:paraId="092BFBE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窗口信息显示</w:t>
            </w:r>
          </w:p>
        </w:tc>
        <w:tc>
          <w:tcPr>
            <w:tcW w:w="11040" w:type="dxa"/>
            <w:tcBorders>
              <w:top w:val="nil"/>
              <w:left w:val="nil"/>
              <w:bottom w:val="single" w:color="000000" w:sz="8" w:space="0"/>
              <w:right w:val="single" w:color="000000" w:sz="8" w:space="0"/>
            </w:tcBorders>
            <w:noWrap w:val="0"/>
            <w:vAlign w:val="center"/>
          </w:tcPr>
          <w:p w14:paraId="2714E8A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以窗口上方的液晶显示屏或LED显示屏为载体，通过该设备进行窗口信息和排队叫号信息发布，能够显示窗口名称、窗口状态（如正在办理、空闲、暂停）、当前办理事项、当前呼叫号码信息，便于办事群众及时找到自己所要办理业务的窗口。</w:t>
            </w:r>
          </w:p>
        </w:tc>
        <w:tc>
          <w:tcPr>
            <w:tcW w:w="1171" w:type="dxa"/>
            <w:tcBorders>
              <w:top w:val="nil"/>
              <w:left w:val="nil"/>
              <w:bottom w:val="single" w:color="000000" w:sz="8" w:space="0"/>
              <w:right w:val="single" w:color="000000" w:sz="8" w:space="0"/>
            </w:tcBorders>
            <w:noWrap/>
            <w:vAlign w:val="center"/>
          </w:tcPr>
          <w:p w14:paraId="4C481C3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0F4FF4A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17DDB3C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4DB01B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0D18BFF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86</w:t>
            </w:r>
          </w:p>
        </w:tc>
        <w:tc>
          <w:tcPr>
            <w:tcW w:w="1995" w:type="dxa"/>
            <w:tcBorders>
              <w:top w:val="nil"/>
              <w:left w:val="nil"/>
              <w:bottom w:val="single" w:color="000000" w:sz="8" w:space="0"/>
              <w:right w:val="single" w:color="000000" w:sz="8" w:space="0"/>
            </w:tcBorders>
            <w:noWrap w:val="0"/>
            <w:vAlign w:val="center"/>
          </w:tcPr>
          <w:p w14:paraId="57BD834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1D7758F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7E1CAFE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排队叫号系统</w:t>
            </w:r>
          </w:p>
        </w:tc>
        <w:tc>
          <w:tcPr>
            <w:tcW w:w="4156" w:type="dxa"/>
            <w:tcBorders>
              <w:top w:val="nil"/>
              <w:left w:val="nil"/>
              <w:bottom w:val="single" w:color="000000" w:sz="8" w:space="0"/>
              <w:right w:val="single" w:color="000000" w:sz="8" w:space="0"/>
            </w:tcBorders>
            <w:noWrap w:val="0"/>
            <w:vAlign w:val="center"/>
          </w:tcPr>
          <w:p w14:paraId="54BACFB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等待信息显示</w:t>
            </w:r>
          </w:p>
        </w:tc>
        <w:tc>
          <w:tcPr>
            <w:tcW w:w="11040" w:type="dxa"/>
            <w:tcBorders>
              <w:top w:val="nil"/>
              <w:left w:val="nil"/>
              <w:bottom w:val="single" w:color="000000" w:sz="8" w:space="0"/>
              <w:right w:val="single" w:color="000000" w:sz="8" w:space="0"/>
            </w:tcBorders>
            <w:noWrap w:val="0"/>
            <w:vAlign w:val="center"/>
          </w:tcPr>
          <w:p w14:paraId="2A7B3CA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以等待区的液晶显示屏或LED显示屏为载体，与排队叫号系统相结合，实现叫号信息实时动态展示</w:t>
            </w:r>
          </w:p>
        </w:tc>
        <w:tc>
          <w:tcPr>
            <w:tcW w:w="1171" w:type="dxa"/>
            <w:tcBorders>
              <w:top w:val="nil"/>
              <w:left w:val="nil"/>
              <w:bottom w:val="single" w:color="000000" w:sz="8" w:space="0"/>
              <w:right w:val="single" w:color="000000" w:sz="8" w:space="0"/>
            </w:tcBorders>
            <w:noWrap/>
            <w:vAlign w:val="center"/>
          </w:tcPr>
          <w:p w14:paraId="5B12223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64889B2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1A1CF42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254403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6A3BC21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87</w:t>
            </w:r>
          </w:p>
        </w:tc>
        <w:tc>
          <w:tcPr>
            <w:tcW w:w="1995" w:type="dxa"/>
            <w:tcBorders>
              <w:top w:val="nil"/>
              <w:left w:val="nil"/>
              <w:bottom w:val="single" w:color="000000" w:sz="8" w:space="0"/>
              <w:right w:val="single" w:color="000000" w:sz="8" w:space="0"/>
            </w:tcBorders>
            <w:noWrap w:val="0"/>
            <w:vAlign w:val="center"/>
          </w:tcPr>
          <w:p w14:paraId="1BFE873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612E6AF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76D2DCA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综合查询系统</w:t>
            </w:r>
          </w:p>
        </w:tc>
        <w:tc>
          <w:tcPr>
            <w:tcW w:w="4156" w:type="dxa"/>
            <w:tcBorders>
              <w:top w:val="nil"/>
              <w:left w:val="nil"/>
              <w:bottom w:val="single" w:color="000000" w:sz="8" w:space="0"/>
              <w:right w:val="single" w:color="000000" w:sz="8" w:space="0"/>
            </w:tcBorders>
            <w:noWrap w:val="0"/>
            <w:vAlign w:val="center"/>
          </w:tcPr>
          <w:p w14:paraId="56DAFF0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排队信息查询</w:t>
            </w:r>
          </w:p>
        </w:tc>
        <w:tc>
          <w:tcPr>
            <w:tcW w:w="11040" w:type="dxa"/>
            <w:tcBorders>
              <w:top w:val="nil"/>
              <w:left w:val="nil"/>
              <w:bottom w:val="single" w:color="000000" w:sz="8" w:space="0"/>
              <w:right w:val="single" w:color="000000" w:sz="8" w:space="0"/>
            </w:tcBorders>
            <w:noWrap w:val="0"/>
            <w:vAlign w:val="center"/>
          </w:tcPr>
          <w:p w14:paraId="6F3342A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为办事群众提供排队叫号信息查询功能，办事群众可以及时查询到当前事项的办理号段、排队人数内容，方便办事群众安排事项办理的时间。</w:t>
            </w:r>
          </w:p>
        </w:tc>
        <w:tc>
          <w:tcPr>
            <w:tcW w:w="1171" w:type="dxa"/>
            <w:tcBorders>
              <w:top w:val="nil"/>
              <w:left w:val="nil"/>
              <w:bottom w:val="single" w:color="000000" w:sz="8" w:space="0"/>
              <w:right w:val="single" w:color="000000" w:sz="8" w:space="0"/>
            </w:tcBorders>
            <w:noWrap/>
            <w:vAlign w:val="center"/>
          </w:tcPr>
          <w:p w14:paraId="41165E5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39EE120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6BC061A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27EB02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4" w:hRule="atLeast"/>
        </w:trPr>
        <w:tc>
          <w:tcPr>
            <w:tcW w:w="750" w:type="dxa"/>
            <w:tcBorders>
              <w:top w:val="nil"/>
              <w:left w:val="single" w:color="000000" w:sz="8" w:space="0"/>
              <w:bottom w:val="single" w:color="000000" w:sz="8" w:space="0"/>
              <w:right w:val="single" w:color="000000" w:sz="8" w:space="0"/>
            </w:tcBorders>
            <w:noWrap/>
            <w:vAlign w:val="center"/>
          </w:tcPr>
          <w:p w14:paraId="4DEE018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88</w:t>
            </w:r>
          </w:p>
        </w:tc>
        <w:tc>
          <w:tcPr>
            <w:tcW w:w="1995" w:type="dxa"/>
            <w:tcBorders>
              <w:top w:val="nil"/>
              <w:left w:val="nil"/>
              <w:bottom w:val="single" w:color="000000" w:sz="8" w:space="0"/>
              <w:right w:val="single" w:color="000000" w:sz="8" w:space="0"/>
            </w:tcBorders>
            <w:noWrap w:val="0"/>
            <w:vAlign w:val="center"/>
          </w:tcPr>
          <w:p w14:paraId="17BCB3B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733245E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0690E0B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综合查询系统</w:t>
            </w:r>
          </w:p>
        </w:tc>
        <w:tc>
          <w:tcPr>
            <w:tcW w:w="4156" w:type="dxa"/>
            <w:tcBorders>
              <w:top w:val="nil"/>
              <w:left w:val="nil"/>
              <w:bottom w:val="single" w:color="000000" w:sz="8" w:space="0"/>
              <w:right w:val="single" w:color="000000" w:sz="8" w:space="0"/>
            </w:tcBorders>
            <w:noWrap w:val="0"/>
            <w:vAlign w:val="center"/>
          </w:tcPr>
          <w:p w14:paraId="1BD9099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办事指南打印</w:t>
            </w:r>
          </w:p>
        </w:tc>
        <w:tc>
          <w:tcPr>
            <w:tcW w:w="11040" w:type="dxa"/>
            <w:tcBorders>
              <w:top w:val="nil"/>
              <w:left w:val="nil"/>
              <w:bottom w:val="single" w:color="000000" w:sz="8" w:space="0"/>
              <w:right w:val="single" w:color="000000" w:sz="8" w:space="0"/>
            </w:tcBorders>
            <w:noWrap w:val="0"/>
            <w:vAlign w:val="center"/>
          </w:tcPr>
          <w:p w14:paraId="31AF0D44">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为办事群众提供办事指南打印功能。办事群众可通过查询终端，检索到需要办理事项的办事指南，然后通过办事指南打印功能，打印相应业务办理事项的办事指南，以便离开大厅后，也可随时了解事项办理相关信息。</w:t>
            </w:r>
          </w:p>
        </w:tc>
        <w:tc>
          <w:tcPr>
            <w:tcW w:w="1171" w:type="dxa"/>
            <w:tcBorders>
              <w:top w:val="nil"/>
              <w:left w:val="nil"/>
              <w:bottom w:val="single" w:color="000000" w:sz="8" w:space="0"/>
              <w:right w:val="single" w:color="000000" w:sz="8" w:space="0"/>
            </w:tcBorders>
            <w:noWrap/>
            <w:vAlign w:val="center"/>
          </w:tcPr>
          <w:p w14:paraId="63D9E14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2624CBB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3C1FBBC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5C54C0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14" w:hRule="atLeast"/>
        </w:trPr>
        <w:tc>
          <w:tcPr>
            <w:tcW w:w="750" w:type="dxa"/>
            <w:tcBorders>
              <w:top w:val="nil"/>
              <w:left w:val="single" w:color="000000" w:sz="8" w:space="0"/>
              <w:bottom w:val="single" w:color="000000" w:sz="8" w:space="0"/>
              <w:right w:val="single" w:color="000000" w:sz="8" w:space="0"/>
            </w:tcBorders>
            <w:noWrap/>
            <w:vAlign w:val="center"/>
          </w:tcPr>
          <w:p w14:paraId="52FDE81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89</w:t>
            </w:r>
          </w:p>
        </w:tc>
        <w:tc>
          <w:tcPr>
            <w:tcW w:w="1995" w:type="dxa"/>
            <w:tcBorders>
              <w:top w:val="nil"/>
              <w:left w:val="nil"/>
              <w:bottom w:val="single" w:color="000000" w:sz="8" w:space="0"/>
              <w:right w:val="single" w:color="000000" w:sz="8" w:space="0"/>
            </w:tcBorders>
            <w:noWrap w:val="0"/>
            <w:vAlign w:val="center"/>
          </w:tcPr>
          <w:p w14:paraId="7396F10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6857A2A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059D2FD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综合查询系统</w:t>
            </w:r>
          </w:p>
        </w:tc>
        <w:tc>
          <w:tcPr>
            <w:tcW w:w="4156" w:type="dxa"/>
            <w:tcBorders>
              <w:top w:val="nil"/>
              <w:left w:val="nil"/>
              <w:bottom w:val="single" w:color="000000" w:sz="8" w:space="0"/>
              <w:right w:val="single" w:color="000000" w:sz="8" w:space="0"/>
            </w:tcBorders>
            <w:noWrap w:val="0"/>
            <w:vAlign w:val="center"/>
          </w:tcPr>
          <w:p w14:paraId="6CA705B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中心信息查询</w:t>
            </w:r>
          </w:p>
        </w:tc>
        <w:tc>
          <w:tcPr>
            <w:tcW w:w="11040" w:type="dxa"/>
            <w:tcBorders>
              <w:top w:val="nil"/>
              <w:left w:val="nil"/>
              <w:bottom w:val="single" w:color="000000" w:sz="8" w:space="0"/>
              <w:right w:val="single" w:color="000000" w:sz="8" w:space="0"/>
            </w:tcBorders>
            <w:noWrap w:val="0"/>
            <w:vAlign w:val="center"/>
          </w:tcPr>
          <w:p w14:paraId="0FCB697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依托查询设备，展示政务服务中心的中心概况、政务公开信息、中心人员信息、中心宣传视频以及中心布局相关信息，以便向办事群众展示政务服务信息以及相关政策，并指引办事群众到达相关的办事窗口进行事项办理。</w:t>
            </w:r>
          </w:p>
        </w:tc>
        <w:tc>
          <w:tcPr>
            <w:tcW w:w="1171" w:type="dxa"/>
            <w:tcBorders>
              <w:top w:val="nil"/>
              <w:left w:val="nil"/>
              <w:bottom w:val="single" w:color="000000" w:sz="8" w:space="0"/>
              <w:right w:val="single" w:color="000000" w:sz="8" w:space="0"/>
            </w:tcBorders>
            <w:noWrap/>
            <w:vAlign w:val="center"/>
          </w:tcPr>
          <w:p w14:paraId="562792E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4F3126F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5B7B464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2DD0D7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5E58B47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90</w:t>
            </w:r>
          </w:p>
        </w:tc>
        <w:tc>
          <w:tcPr>
            <w:tcW w:w="1995" w:type="dxa"/>
            <w:tcBorders>
              <w:top w:val="nil"/>
              <w:left w:val="nil"/>
              <w:bottom w:val="single" w:color="000000" w:sz="8" w:space="0"/>
              <w:right w:val="single" w:color="000000" w:sz="8" w:space="0"/>
            </w:tcBorders>
            <w:noWrap w:val="0"/>
            <w:vAlign w:val="center"/>
          </w:tcPr>
          <w:p w14:paraId="1713403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430A690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64EFE69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综合查询系统</w:t>
            </w:r>
          </w:p>
        </w:tc>
        <w:tc>
          <w:tcPr>
            <w:tcW w:w="4156" w:type="dxa"/>
            <w:tcBorders>
              <w:top w:val="nil"/>
              <w:left w:val="nil"/>
              <w:bottom w:val="single" w:color="000000" w:sz="8" w:space="0"/>
              <w:right w:val="single" w:color="000000" w:sz="8" w:space="0"/>
            </w:tcBorders>
            <w:noWrap w:val="0"/>
            <w:vAlign w:val="center"/>
          </w:tcPr>
          <w:p w14:paraId="78FD991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问卷调查发布</w:t>
            </w:r>
          </w:p>
        </w:tc>
        <w:tc>
          <w:tcPr>
            <w:tcW w:w="11040" w:type="dxa"/>
            <w:tcBorders>
              <w:top w:val="nil"/>
              <w:left w:val="nil"/>
              <w:bottom w:val="single" w:color="000000" w:sz="8" w:space="0"/>
              <w:right w:val="single" w:color="000000" w:sz="8" w:space="0"/>
            </w:tcBorders>
            <w:noWrap w:val="0"/>
            <w:vAlign w:val="center"/>
          </w:tcPr>
          <w:p w14:paraId="41CBC8E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定期发布与政务服务相关的问卷调查，用户点击即可参与，对问卷调查内容进行反馈，并针对相关服务提出建议，为后期服务改进提供参考依据。</w:t>
            </w:r>
          </w:p>
        </w:tc>
        <w:tc>
          <w:tcPr>
            <w:tcW w:w="1171" w:type="dxa"/>
            <w:tcBorders>
              <w:top w:val="nil"/>
              <w:left w:val="nil"/>
              <w:bottom w:val="single" w:color="000000" w:sz="8" w:space="0"/>
              <w:right w:val="single" w:color="000000" w:sz="8" w:space="0"/>
            </w:tcBorders>
            <w:noWrap/>
            <w:vAlign w:val="center"/>
          </w:tcPr>
          <w:p w14:paraId="7827293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31A2684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2 </w:t>
            </w:r>
          </w:p>
        </w:tc>
        <w:tc>
          <w:tcPr>
            <w:tcW w:w="4078" w:type="dxa"/>
            <w:tcBorders>
              <w:top w:val="nil"/>
              <w:left w:val="single" w:color="000000" w:sz="8" w:space="0"/>
              <w:bottom w:val="single" w:color="000000" w:sz="8" w:space="0"/>
              <w:right w:val="single" w:color="000000" w:sz="8" w:space="0"/>
            </w:tcBorders>
            <w:noWrap/>
            <w:vAlign w:val="center"/>
          </w:tcPr>
          <w:p w14:paraId="61C69DE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7D13C0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1AE66C4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91</w:t>
            </w:r>
          </w:p>
        </w:tc>
        <w:tc>
          <w:tcPr>
            <w:tcW w:w="1995" w:type="dxa"/>
            <w:tcBorders>
              <w:top w:val="nil"/>
              <w:left w:val="nil"/>
              <w:bottom w:val="single" w:color="000000" w:sz="8" w:space="0"/>
              <w:right w:val="single" w:color="000000" w:sz="8" w:space="0"/>
            </w:tcBorders>
            <w:noWrap w:val="0"/>
            <w:vAlign w:val="center"/>
          </w:tcPr>
          <w:p w14:paraId="4EFFC16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38705D9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3DB9278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综合查询系统</w:t>
            </w:r>
          </w:p>
        </w:tc>
        <w:tc>
          <w:tcPr>
            <w:tcW w:w="4156" w:type="dxa"/>
            <w:tcBorders>
              <w:top w:val="nil"/>
              <w:left w:val="nil"/>
              <w:bottom w:val="single" w:color="000000" w:sz="8" w:space="0"/>
              <w:right w:val="single" w:color="000000" w:sz="8" w:space="0"/>
            </w:tcBorders>
            <w:noWrap w:val="0"/>
            <w:vAlign w:val="center"/>
          </w:tcPr>
          <w:p w14:paraId="72B8529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服务之星展示</w:t>
            </w:r>
          </w:p>
        </w:tc>
        <w:tc>
          <w:tcPr>
            <w:tcW w:w="11040" w:type="dxa"/>
            <w:tcBorders>
              <w:top w:val="nil"/>
              <w:left w:val="nil"/>
              <w:bottom w:val="single" w:color="000000" w:sz="8" w:space="0"/>
              <w:right w:val="single" w:color="000000" w:sz="8" w:space="0"/>
            </w:tcBorders>
            <w:noWrap w:val="0"/>
            <w:vAlign w:val="center"/>
          </w:tcPr>
          <w:p w14:paraId="6F86A22E">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对优秀工作人员进行风采展示，内容包括姓名、所属部门、个人星级，增加工作人员的荣誉感和获得感，提高窗口人员的工作积极性。</w:t>
            </w:r>
          </w:p>
        </w:tc>
        <w:tc>
          <w:tcPr>
            <w:tcW w:w="1171" w:type="dxa"/>
            <w:tcBorders>
              <w:top w:val="nil"/>
              <w:left w:val="nil"/>
              <w:bottom w:val="single" w:color="000000" w:sz="8" w:space="0"/>
              <w:right w:val="single" w:color="000000" w:sz="8" w:space="0"/>
            </w:tcBorders>
            <w:noWrap/>
            <w:vAlign w:val="center"/>
          </w:tcPr>
          <w:p w14:paraId="3B2AFBF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7270DF9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41E2570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199CB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469324B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92</w:t>
            </w:r>
          </w:p>
        </w:tc>
        <w:tc>
          <w:tcPr>
            <w:tcW w:w="1995" w:type="dxa"/>
            <w:tcBorders>
              <w:top w:val="nil"/>
              <w:left w:val="nil"/>
              <w:bottom w:val="single" w:color="000000" w:sz="8" w:space="0"/>
              <w:right w:val="single" w:color="000000" w:sz="8" w:space="0"/>
            </w:tcBorders>
            <w:noWrap w:val="0"/>
            <w:vAlign w:val="center"/>
          </w:tcPr>
          <w:p w14:paraId="4DEB46F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0C20BB5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206BDF4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综合查询系统</w:t>
            </w:r>
          </w:p>
        </w:tc>
        <w:tc>
          <w:tcPr>
            <w:tcW w:w="4156" w:type="dxa"/>
            <w:tcBorders>
              <w:top w:val="nil"/>
              <w:left w:val="nil"/>
              <w:bottom w:val="single" w:color="000000" w:sz="8" w:space="0"/>
              <w:right w:val="single" w:color="000000" w:sz="8" w:space="0"/>
            </w:tcBorders>
            <w:noWrap w:val="0"/>
            <w:vAlign w:val="center"/>
          </w:tcPr>
          <w:p w14:paraId="39D615B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常见问题查询</w:t>
            </w:r>
          </w:p>
        </w:tc>
        <w:tc>
          <w:tcPr>
            <w:tcW w:w="11040" w:type="dxa"/>
            <w:tcBorders>
              <w:top w:val="nil"/>
              <w:left w:val="nil"/>
              <w:bottom w:val="single" w:color="000000" w:sz="8" w:space="0"/>
              <w:right w:val="single" w:color="000000" w:sz="8" w:space="0"/>
            </w:tcBorders>
            <w:noWrap w:val="0"/>
            <w:vAlign w:val="center"/>
          </w:tcPr>
          <w:p w14:paraId="30312E16">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中心管理人员会及时收集整理一些热点问题，在查询终端上进行发布，办事群众可以查看常见问题，快速获取解决方法。</w:t>
            </w:r>
          </w:p>
        </w:tc>
        <w:tc>
          <w:tcPr>
            <w:tcW w:w="1171" w:type="dxa"/>
            <w:tcBorders>
              <w:top w:val="nil"/>
              <w:left w:val="nil"/>
              <w:bottom w:val="single" w:color="000000" w:sz="8" w:space="0"/>
              <w:right w:val="single" w:color="000000" w:sz="8" w:space="0"/>
            </w:tcBorders>
            <w:noWrap/>
            <w:vAlign w:val="center"/>
          </w:tcPr>
          <w:p w14:paraId="1E31F2B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0F856E3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603AF72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59231E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75FA7CE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93</w:t>
            </w:r>
          </w:p>
        </w:tc>
        <w:tc>
          <w:tcPr>
            <w:tcW w:w="1995" w:type="dxa"/>
            <w:tcBorders>
              <w:top w:val="nil"/>
              <w:left w:val="nil"/>
              <w:bottom w:val="single" w:color="000000" w:sz="8" w:space="0"/>
              <w:right w:val="single" w:color="000000" w:sz="8" w:space="0"/>
            </w:tcBorders>
            <w:noWrap w:val="0"/>
            <w:vAlign w:val="center"/>
          </w:tcPr>
          <w:p w14:paraId="280FFE9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1A5A224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7E1FB06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楼层导航系统</w:t>
            </w:r>
          </w:p>
        </w:tc>
        <w:tc>
          <w:tcPr>
            <w:tcW w:w="4156" w:type="dxa"/>
            <w:tcBorders>
              <w:top w:val="nil"/>
              <w:left w:val="nil"/>
              <w:bottom w:val="single" w:color="000000" w:sz="8" w:space="0"/>
              <w:right w:val="single" w:color="000000" w:sz="8" w:space="0"/>
            </w:tcBorders>
            <w:noWrap w:val="0"/>
            <w:vAlign w:val="center"/>
          </w:tcPr>
          <w:p w14:paraId="260B557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楼层指南</w:t>
            </w:r>
          </w:p>
        </w:tc>
        <w:tc>
          <w:tcPr>
            <w:tcW w:w="11040" w:type="dxa"/>
            <w:tcBorders>
              <w:top w:val="nil"/>
              <w:left w:val="nil"/>
              <w:bottom w:val="single" w:color="000000" w:sz="8" w:space="0"/>
              <w:right w:val="single" w:color="000000" w:sz="8" w:space="0"/>
            </w:tcBorders>
            <w:noWrap w:val="0"/>
            <w:vAlign w:val="center"/>
          </w:tcPr>
          <w:p w14:paraId="0054DF3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根据大厅实际情况，提供对应的各个楼层的平面展示图，包括各个部门、分区、窗口、办公室、会议室对应位置，方便办事群众了解大厅的整体布局。</w:t>
            </w:r>
          </w:p>
        </w:tc>
        <w:tc>
          <w:tcPr>
            <w:tcW w:w="1171" w:type="dxa"/>
            <w:tcBorders>
              <w:top w:val="nil"/>
              <w:left w:val="nil"/>
              <w:bottom w:val="single" w:color="000000" w:sz="8" w:space="0"/>
              <w:right w:val="single" w:color="000000" w:sz="8" w:space="0"/>
            </w:tcBorders>
            <w:noWrap/>
            <w:vAlign w:val="center"/>
          </w:tcPr>
          <w:p w14:paraId="6DF6A6E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05B481F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3982648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725F6B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0BB09C7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94</w:t>
            </w:r>
          </w:p>
        </w:tc>
        <w:tc>
          <w:tcPr>
            <w:tcW w:w="1995" w:type="dxa"/>
            <w:tcBorders>
              <w:top w:val="nil"/>
              <w:left w:val="nil"/>
              <w:bottom w:val="single" w:color="000000" w:sz="8" w:space="0"/>
              <w:right w:val="single" w:color="000000" w:sz="8" w:space="0"/>
            </w:tcBorders>
            <w:noWrap w:val="0"/>
            <w:vAlign w:val="center"/>
          </w:tcPr>
          <w:p w14:paraId="62F45F1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2801430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73194BC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楼层导航系统</w:t>
            </w:r>
          </w:p>
        </w:tc>
        <w:tc>
          <w:tcPr>
            <w:tcW w:w="4156" w:type="dxa"/>
            <w:tcBorders>
              <w:top w:val="nil"/>
              <w:left w:val="nil"/>
              <w:bottom w:val="single" w:color="000000" w:sz="8" w:space="0"/>
              <w:right w:val="single" w:color="000000" w:sz="8" w:space="0"/>
            </w:tcBorders>
            <w:noWrap w:val="0"/>
            <w:vAlign w:val="center"/>
          </w:tcPr>
          <w:p w14:paraId="276426A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路线指引</w:t>
            </w:r>
          </w:p>
        </w:tc>
        <w:tc>
          <w:tcPr>
            <w:tcW w:w="11040" w:type="dxa"/>
            <w:tcBorders>
              <w:top w:val="nil"/>
              <w:left w:val="nil"/>
              <w:bottom w:val="single" w:color="000000" w:sz="8" w:space="0"/>
              <w:right w:val="single" w:color="000000" w:sz="8" w:space="0"/>
            </w:tcBorders>
            <w:noWrap w:val="0"/>
            <w:vAlign w:val="center"/>
          </w:tcPr>
          <w:p w14:paraId="69DA5879">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办事群众可以在平面地图上选择想去的目的地位置，在确认导引服务后，系统会自动生成路线引导，指导办事群众如何前往，提升办事体验。</w:t>
            </w:r>
          </w:p>
        </w:tc>
        <w:tc>
          <w:tcPr>
            <w:tcW w:w="1171" w:type="dxa"/>
            <w:tcBorders>
              <w:top w:val="nil"/>
              <w:left w:val="nil"/>
              <w:bottom w:val="single" w:color="000000" w:sz="8" w:space="0"/>
              <w:right w:val="single" w:color="000000" w:sz="8" w:space="0"/>
            </w:tcBorders>
            <w:noWrap/>
            <w:vAlign w:val="center"/>
          </w:tcPr>
          <w:p w14:paraId="0F85894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74DD7BA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089E7AD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2157BB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49566BA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95</w:t>
            </w:r>
          </w:p>
        </w:tc>
        <w:tc>
          <w:tcPr>
            <w:tcW w:w="1995" w:type="dxa"/>
            <w:tcBorders>
              <w:top w:val="nil"/>
              <w:left w:val="nil"/>
              <w:bottom w:val="single" w:color="000000" w:sz="8" w:space="0"/>
              <w:right w:val="single" w:color="000000" w:sz="8" w:space="0"/>
            </w:tcBorders>
            <w:noWrap w:val="0"/>
            <w:vAlign w:val="center"/>
          </w:tcPr>
          <w:p w14:paraId="3F2CB39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62C6AB4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08C7598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好差评系统</w:t>
            </w:r>
          </w:p>
        </w:tc>
        <w:tc>
          <w:tcPr>
            <w:tcW w:w="4156" w:type="dxa"/>
            <w:tcBorders>
              <w:top w:val="nil"/>
              <w:left w:val="nil"/>
              <w:bottom w:val="single" w:color="000000" w:sz="8" w:space="0"/>
              <w:right w:val="single" w:color="000000" w:sz="8" w:space="0"/>
            </w:tcBorders>
            <w:noWrap w:val="0"/>
            <w:vAlign w:val="center"/>
          </w:tcPr>
          <w:p w14:paraId="5AD226B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好差评窗口维护</w:t>
            </w:r>
          </w:p>
        </w:tc>
        <w:tc>
          <w:tcPr>
            <w:tcW w:w="11040" w:type="dxa"/>
            <w:tcBorders>
              <w:top w:val="nil"/>
              <w:left w:val="nil"/>
              <w:bottom w:val="single" w:color="000000" w:sz="8" w:space="0"/>
              <w:right w:val="single" w:color="000000" w:sz="8" w:space="0"/>
            </w:tcBorders>
            <w:noWrap w:val="0"/>
            <w:vAlign w:val="center"/>
          </w:tcPr>
          <w:p w14:paraId="7A8416A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通过维护窗口信息如窗口人员身份证、窗口人员姓名、窗口编号等数据，上传至省好差评系统，获取好差评窗口二维码，提供窗口二维码查看、更新功能。</w:t>
            </w:r>
          </w:p>
        </w:tc>
        <w:tc>
          <w:tcPr>
            <w:tcW w:w="1171" w:type="dxa"/>
            <w:tcBorders>
              <w:top w:val="nil"/>
              <w:left w:val="nil"/>
              <w:bottom w:val="single" w:color="000000" w:sz="8" w:space="0"/>
              <w:right w:val="single" w:color="000000" w:sz="8" w:space="0"/>
            </w:tcBorders>
            <w:noWrap/>
            <w:vAlign w:val="center"/>
          </w:tcPr>
          <w:p w14:paraId="108D91A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6B7744B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473CB46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682B9C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58A2E9E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96</w:t>
            </w:r>
          </w:p>
        </w:tc>
        <w:tc>
          <w:tcPr>
            <w:tcW w:w="1995" w:type="dxa"/>
            <w:tcBorders>
              <w:top w:val="nil"/>
              <w:left w:val="nil"/>
              <w:bottom w:val="single" w:color="000000" w:sz="8" w:space="0"/>
              <w:right w:val="single" w:color="000000" w:sz="8" w:space="0"/>
            </w:tcBorders>
            <w:noWrap w:val="0"/>
            <w:vAlign w:val="center"/>
          </w:tcPr>
          <w:p w14:paraId="6547B4E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6203C0F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15AA9D3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好差评系统</w:t>
            </w:r>
          </w:p>
        </w:tc>
        <w:tc>
          <w:tcPr>
            <w:tcW w:w="4156" w:type="dxa"/>
            <w:tcBorders>
              <w:top w:val="nil"/>
              <w:left w:val="nil"/>
              <w:bottom w:val="single" w:color="000000" w:sz="8" w:space="0"/>
              <w:right w:val="single" w:color="000000" w:sz="8" w:space="0"/>
            </w:tcBorders>
            <w:noWrap w:val="0"/>
            <w:vAlign w:val="center"/>
          </w:tcPr>
          <w:p w14:paraId="654128D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好差评统计功能</w:t>
            </w:r>
          </w:p>
        </w:tc>
        <w:tc>
          <w:tcPr>
            <w:tcW w:w="11040" w:type="dxa"/>
            <w:tcBorders>
              <w:top w:val="nil"/>
              <w:left w:val="nil"/>
              <w:bottom w:val="single" w:color="000000" w:sz="8" w:space="0"/>
              <w:right w:val="single" w:color="000000" w:sz="8" w:space="0"/>
            </w:tcBorders>
            <w:noWrap w:val="0"/>
            <w:vAlign w:val="center"/>
          </w:tcPr>
          <w:p w14:paraId="10A9B791">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提供好差评统计功能，记录评价人、评价时间、办件编号、受理部门、评价渠道、满意度。可根据评价人身份证号、评价人姓名查询具体好差评情况。</w:t>
            </w:r>
          </w:p>
        </w:tc>
        <w:tc>
          <w:tcPr>
            <w:tcW w:w="1171" w:type="dxa"/>
            <w:tcBorders>
              <w:top w:val="nil"/>
              <w:left w:val="nil"/>
              <w:bottom w:val="single" w:color="000000" w:sz="8" w:space="0"/>
              <w:right w:val="single" w:color="000000" w:sz="8" w:space="0"/>
            </w:tcBorders>
            <w:noWrap/>
            <w:vAlign w:val="center"/>
          </w:tcPr>
          <w:p w14:paraId="3EF8938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3AF2B80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14EF097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68119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30" w:hRule="atLeast"/>
        </w:trPr>
        <w:tc>
          <w:tcPr>
            <w:tcW w:w="750" w:type="dxa"/>
            <w:tcBorders>
              <w:top w:val="nil"/>
              <w:left w:val="single" w:color="000000" w:sz="8" w:space="0"/>
              <w:bottom w:val="single" w:color="000000" w:sz="8" w:space="0"/>
              <w:right w:val="single" w:color="000000" w:sz="8" w:space="0"/>
            </w:tcBorders>
            <w:noWrap/>
            <w:vAlign w:val="center"/>
          </w:tcPr>
          <w:p w14:paraId="3A39DE3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97</w:t>
            </w:r>
          </w:p>
        </w:tc>
        <w:tc>
          <w:tcPr>
            <w:tcW w:w="1995" w:type="dxa"/>
            <w:tcBorders>
              <w:top w:val="nil"/>
              <w:left w:val="nil"/>
              <w:bottom w:val="single" w:color="000000" w:sz="8" w:space="0"/>
              <w:right w:val="single" w:color="000000" w:sz="8" w:space="0"/>
            </w:tcBorders>
            <w:noWrap w:val="0"/>
            <w:vAlign w:val="center"/>
          </w:tcPr>
          <w:p w14:paraId="235A858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1582F38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1BB4489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好差评系统</w:t>
            </w:r>
          </w:p>
        </w:tc>
        <w:tc>
          <w:tcPr>
            <w:tcW w:w="4156" w:type="dxa"/>
            <w:tcBorders>
              <w:top w:val="nil"/>
              <w:left w:val="nil"/>
              <w:bottom w:val="single" w:color="000000" w:sz="8" w:space="0"/>
              <w:right w:val="single" w:color="000000" w:sz="8" w:space="0"/>
            </w:tcBorders>
            <w:noWrap w:val="0"/>
            <w:vAlign w:val="center"/>
          </w:tcPr>
          <w:p w14:paraId="15309FE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窗口互动终端评价</w:t>
            </w:r>
          </w:p>
        </w:tc>
        <w:tc>
          <w:tcPr>
            <w:tcW w:w="11040" w:type="dxa"/>
            <w:tcBorders>
              <w:top w:val="nil"/>
              <w:left w:val="nil"/>
              <w:bottom w:val="single" w:color="000000" w:sz="8" w:space="0"/>
              <w:right w:val="single" w:color="000000" w:sz="8" w:space="0"/>
            </w:tcBorders>
            <w:noWrap w:val="0"/>
            <w:vAlign w:val="center"/>
          </w:tcPr>
          <w:p w14:paraId="19E23CD2">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每次服务完成后，窗口工作人员即可发起评价操作，系统调取省平台办件评价页面，公众即可选择现场评价。</w:t>
            </w:r>
          </w:p>
        </w:tc>
        <w:tc>
          <w:tcPr>
            <w:tcW w:w="1171" w:type="dxa"/>
            <w:tcBorders>
              <w:top w:val="nil"/>
              <w:left w:val="nil"/>
              <w:bottom w:val="single" w:color="000000" w:sz="8" w:space="0"/>
              <w:right w:val="single" w:color="000000" w:sz="8" w:space="0"/>
            </w:tcBorders>
            <w:noWrap/>
            <w:vAlign w:val="center"/>
          </w:tcPr>
          <w:p w14:paraId="6CEF90A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01859E4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2A025AB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02FBD9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0" w:hRule="atLeast"/>
        </w:trPr>
        <w:tc>
          <w:tcPr>
            <w:tcW w:w="750" w:type="dxa"/>
            <w:tcBorders>
              <w:top w:val="nil"/>
              <w:left w:val="single" w:color="000000" w:sz="8" w:space="0"/>
              <w:bottom w:val="single" w:color="000000" w:sz="8" w:space="0"/>
              <w:right w:val="single" w:color="000000" w:sz="8" w:space="0"/>
            </w:tcBorders>
            <w:noWrap/>
            <w:vAlign w:val="center"/>
          </w:tcPr>
          <w:p w14:paraId="640DFC8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98</w:t>
            </w:r>
          </w:p>
        </w:tc>
        <w:tc>
          <w:tcPr>
            <w:tcW w:w="1995" w:type="dxa"/>
            <w:tcBorders>
              <w:top w:val="nil"/>
              <w:left w:val="nil"/>
              <w:bottom w:val="single" w:color="000000" w:sz="8" w:space="0"/>
              <w:right w:val="single" w:color="000000" w:sz="8" w:space="0"/>
            </w:tcBorders>
            <w:noWrap w:val="0"/>
            <w:vAlign w:val="center"/>
          </w:tcPr>
          <w:p w14:paraId="387B0BE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188D27C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05059A4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好差评系统</w:t>
            </w:r>
          </w:p>
        </w:tc>
        <w:tc>
          <w:tcPr>
            <w:tcW w:w="4156" w:type="dxa"/>
            <w:tcBorders>
              <w:top w:val="nil"/>
              <w:left w:val="nil"/>
              <w:bottom w:val="single" w:color="000000" w:sz="8" w:space="0"/>
              <w:right w:val="single" w:color="000000" w:sz="8" w:space="0"/>
            </w:tcBorders>
            <w:noWrap w:val="0"/>
            <w:vAlign w:val="center"/>
          </w:tcPr>
          <w:p w14:paraId="3383FFB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现场评价</w:t>
            </w:r>
          </w:p>
        </w:tc>
        <w:tc>
          <w:tcPr>
            <w:tcW w:w="11040" w:type="dxa"/>
            <w:tcBorders>
              <w:top w:val="nil"/>
              <w:left w:val="nil"/>
              <w:bottom w:val="single" w:color="000000" w:sz="8" w:space="0"/>
              <w:right w:val="single" w:color="000000" w:sz="8" w:space="0"/>
            </w:tcBorders>
            <w:noWrap w:val="0"/>
            <w:vAlign w:val="center"/>
          </w:tcPr>
          <w:p w14:paraId="1C4B467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办事人进行整体满意度评价，如非常满意、满意、基本满意、不满意、非常不满意。</w:t>
            </w:r>
          </w:p>
        </w:tc>
        <w:tc>
          <w:tcPr>
            <w:tcW w:w="1171" w:type="dxa"/>
            <w:tcBorders>
              <w:top w:val="nil"/>
              <w:left w:val="nil"/>
              <w:bottom w:val="single" w:color="000000" w:sz="8" w:space="0"/>
              <w:right w:val="single" w:color="000000" w:sz="8" w:space="0"/>
            </w:tcBorders>
            <w:noWrap/>
            <w:vAlign w:val="center"/>
          </w:tcPr>
          <w:p w14:paraId="3A76E21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6CCD522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25F58C5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3DC01500">
        <w:tblPrEx>
          <w:tblCellMar>
            <w:top w:w="0" w:type="dxa"/>
            <w:left w:w="108" w:type="dxa"/>
            <w:bottom w:w="0" w:type="dxa"/>
            <w:right w:w="108" w:type="dxa"/>
          </w:tblCellMar>
        </w:tblPrEx>
        <w:trPr>
          <w:trHeight w:val="850" w:hRule="atLeast"/>
        </w:trPr>
        <w:tc>
          <w:tcPr>
            <w:tcW w:w="750" w:type="dxa"/>
            <w:tcBorders>
              <w:top w:val="nil"/>
              <w:left w:val="single" w:color="000000" w:sz="8" w:space="0"/>
              <w:bottom w:val="single" w:color="000000" w:sz="8" w:space="0"/>
              <w:right w:val="single" w:color="000000" w:sz="8" w:space="0"/>
            </w:tcBorders>
            <w:noWrap/>
            <w:vAlign w:val="center"/>
          </w:tcPr>
          <w:p w14:paraId="68CB5C6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99</w:t>
            </w:r>
          </w:p>
        </w:tc>
        <w:tc>
          <w:tcPr>
            <w:tcW w:w="1995" w:type="dxa"/>
            <w:tcBorders>
              <w:top w:val="nil"/>
              <w:left w:val="nil"/>
              <w:bottom w:val="single" w:color="000000" w:sz="8" w:space="0"/>
              <w:right w:val="single" w:color="000000" w:sz="8" w:space="0"/>
            </w:tcBorders>
            <w:noWrap w:val="0"/>
            <w:vAlign w:val="center"/>
          </w:tcPr>
          <w:p w14:paraId="690E3EE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4EEE1AB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4166A62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好差评系统</w:t>
            </w:r>
          </w:p>
        </w:tc>
        <w:tc>
          <w:tcPr>
            <w:tcW w:w="4156" w:type="dxa"/>
            <w:tcBorders>
              <w:top w:val="nil"/>
              <w:left w:val="nil"/>
              <w:bottom w:val="single" w:color="000000" w:sz="8" w:space="0"/>
              <w:right w:val="single" w:color="000000" w:sz="8" w:space="0"/>
            </w:tcBorders>
            <w:noWrap w:val="0"/>
            <w:vAlign w:val="center"/>
          </w:tcPr>
          <w:p w14:paraId="4520295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评价查看</w:t>
            </w:r>
          </w:p>
        </w:tc>
        <w:tc>
          <w:tcPr>
            <w:tcW w:w="11040" w:type="dxa"/>
            <w:tcBorders>
              <w:top w:val="nil"/>
              <w:left w:val="nil"/>
              <w:bottom w:val="single" w:color="000000" w:sz="8" w:space="0"/>
              <w:right w:val="single" w:color="000000" w:sz="8" w:space="0"/>
            </w:tcBorders>
            <w:noWrap w:val="0"/>
            <w:vAlign w:val="center"/>
          </w:tcPr>
          <w:p w14:paraId="6458AC0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“好差评”系统提供评价数据查询接口，在各部门需要对评价数据进行展示时，可调用“好差评”系统数据查询接口获取相对应的评价数据。</w:t>
            </w:r>
          </w:p>
        </w:tc>
        <w:tc>
          <w:tcPr>
            <w:tcW w:w="1171" w:type="dxa"/>
            <w:tcBorders>
              <w:top w:val="nil"/>
              <w:left w:val="nil"/>
              <w:bottom w:val="single" w:color="000000" w:sz="8" w:space="0"/>
              <w:right w:val="single" w:color="000000" w:sz="8" w:space="0"/>
            </w:tcBorders>
            <w:noWrap/>
            <w:vAlign w:val="center"/>
          </w:tcPr>
          <w:p w14:paraId="0F2545D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09B6365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1F81020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4F7339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750" w:type="dxa"/>
            <w:tcBorders>
              <w:top w:val="nil"/>
              <w:left w:val="single" w:color="000000" w:sz="8" w:space="0"/>
              <w:bottom w:val="single" w:color="000000" w:sz="8" w:space="0"/>
              <w:right w:val="single" w:color="000000" w:sz="8" w:space="0"/>
            </w:tcBorders>
            <w:noWrap/>
            <w:vAlign w:val="center"/>
          </w:tcPr>
          <w:p w14:paraId="28EAB26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100</w:t>
            </w:r>
          </w:p>
        </w:tc>
        <w:tc>
          <w:tcPr>
            <w:tcW w:w="1995" w:type="dxa"/>
            <w:tcBorders>
              <w:top w:val="nil"/>
              <w:left w:val="nil"/>
              <w:bottom w:val="single" w:color="000000" w:sz="8" w:space="0"/>
              <w:right w:val="single" w:color="000000" w:sz="8" w:space="0"/>
            </w:tcBorders>
            <w:noWrap w:val="0"/>
            <w:vAlign w:val="center"/>
          </w:tcPr>
          <w:p w14:paraId="751FF03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1315A4A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2E8E54B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大厅综合管理系统</w:t>
            </w:r>
          </w:p>
        </w:tc>
        <w:tc>
          <w:tcPr>
            <w:tcW w:w="4156" w:type="dxa"/>
            <w:tcBorders>
              <w:top w:val="nil"/>
              <w:left w:val="nil"/>
              <w:bottom w:val="single" w:color="000000" w:sz="8" w:space="0"/>
              <w:right w:val="single" w:color="000000" w:sz="8" w:space="0"/>
            </w:tcBorders>
            <w:noWrap w:val="0"/>
            <w:vAlign w:val="center"/>
          </w:tcPr>
          <w:p w14:paraId="5D275E3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预约管理</w:t>
            </w:r>
          </w:p>
        </w:tc>
        <w:tc>
          <w:tcPr>
            <w:tcW w:w="11040" w:type="dxa"/>
            <w:tcBorders>
              <w:top w:val="nil"/>
              <w:left w:val="nil"/>
              <w:bottom w:val="single" w:color="000000" w:sz="8" w:space="0"/>
              <w:right w:val="single" w:color="000000" w:sz="8" w:space="0"/>
            </w:tcBorders>
            <w:noWrap w:val="0"/>
            <w:vAlign w:val="center"/>
          </w:tcPr>
          <w:p w14:paraId="7A9D0B64">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用户可以查看关于预约服务详细信息的填写，包括预约说明，预约地址、窗口号等。系统可以对预约取号的机制、事项进行相关配置。</w:t>
            </w:r>
          </w:p>
        </w:tc>
        <w:tc>
          <w:tcPr>
            <w:tcW w:w="1171" w:type="dxa"/>
            <w:tcBorders>
              <w:top w:val="nil"/>
              <w:left w:val="nil"/>
              <w:bottom w:val="single" w:color="000000" w:sz="8" w:space="0"/>
              <w:right w:val="single" w:color="000000" w:sz="8" w:space="0"/>
            </w:tcBorders>
            <w:noWrap/>
            <w:vAlign w:val="center"/>
          </w:tcPr>
          <w:p w14:paraId="2D10FDB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5E146E4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3E76EBA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235BE5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750" w:type="dxa"/>
            <w:tcBorders>
              <w:top w:val="nil"/>
              <w:left w:val="single" w:color="000000" w:sz="8" w:space="0"/>
              <w:bottom w:val="single" w:color="000000" w:sz="8" w:space="0"/>
              <w:right w:val="single" w:color="000000" w:sz="8" w:space="0"/>
            </w:tcBorders>
            <w:noWrap/>
            <w:vAlign w:val="center"/>
          </w:tcPr>
          <w:p w14:paraId="0328C64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101</w:t>
            </w:r>
          </w:p>
        </w:tc>
        <w:tc>
          <w:tcPr>
            <w:tcW w:w="1995" w:type="dxa"/>
            <w:tcBorders>
              <w:top w:val="nil"/>
              <w:left w:val="nil"/>
              <w:bottom w:val="single" w:color="000000" w:sz="8" w:space="0"/>
              <w:right w:val="single" w:color="000000" w:sz="8" w:space="0"/>
            </w:tcBorders>
            <w:noWrap w:val="0"/>
            <w:vAlign w:val="center"/>
          </w:tcPr>
          <w:p w14:paraId="08184D6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6831096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6B7E966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大厅综合管理系统</w:t>
            </w:r>
          </w:p>
        </w:tc>
        <w:tc>
          <w:tcPr>
            <w:tcW w:w="4156" w:type="dxa"/>
            <w:tcBorders>
              <w:top w:val="nil"/>
              <w:left w:val="nil"/>
              <w:bottom w:val="single" w:color="000000" w:sz="8" w:space="0"/>
              <w:right w:val="single" w:color="000000" w:sz="8" w:space="0"/>
            </w:tcBorders>
            <w:noWrap w:val="0"/>
            <w:vAlign w:val="center"/>
          </w:tcPr>
          <w:p w14:paraId="615BA37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排队叫号管理</w:t>
            </w:r>
          </w:p>
        </w:tc>
        <w:tc>
          <w:tcPr>
            <w:tcW w:w="11040" w:type="dxa"/>
            <w:tcBorders>
              <w:top w:val="nil"/>
              <w:left w:val="nil"/>
              <w:bottom w:val="single" w:color="000000" w:sz="8" w:space="0"/>
              <w:right w:val="single" w:color="000000" w:sz="8" w:space="0"/>
            </w:tcBorders>
            <w:noWrap w:val="0"/>
            <w:vAlign w:val="center"/>
          </w:tcPr>
          <w:p w14:paraId="0C21402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主要实现排队叫号相关功能的配置，包括取号分类配置、区域配置管理、取号时段配置、取号限额配置、预约取号配置、取号权限配置以及取号黑名单管理。</w:t>
            </w:r>
          </w:p>
        </w:tc>
        <w:tc>
          <w:tcPr>
            <w:tcW w:w="1171" w:type="dxa"/>
            <w:tcBorders>
              <w:top w:val="nil"/>
              <w:left w:val="nil"/>
              <w:bottom w:val="single" w:color="000000" w:sz="8" w:space="0"/>
              <w:right w:val="single" w:color="000000" w:sz="8" w:space="0"/>
            </w:tcBorders>
            <w:noWrap/>
            <w:vAlign w:val="center"/>
          </w:tcPr>
          <w:p w14:paraId="1006C35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1BC3522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56DCC06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156CA6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0" w:hRule="atLeast"/>
        </w:trPr>
        <w:tc>
          <w:tcPr>
            <w:tcW w:w="750" w:type="dxa"/>
            <w:tcBorders>
              <w:top w:val="nil"/>
              <w:left w:val="single" w:color="000000" w:sz="8" w:space="0"/>
              <w:bottom w:val="single" w:color="000000" w:sz="8" w:space="0"/>
              <w:right w:val="single" w:color="000000" w:sz="8" w:space="0"/>
            </w:tcBorders>
            <w:noWrap/>
            <w:vAlign w:val="center"/>
          </w:tcPr>
          <w:p w14:paraId="0452948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102</w:t>
            </w:r>
          </w:p>
        </w:tc>
        <w:tc>
          <w:tcPr>
            <w:tcW w:w="1995" w:type="dxa"/>
            <w:tcBorders>
              <w:top w:val="nil"/>
              <w:left w:val="nil"/>
              <w:bottom w:val="single" w:color="000000" w:sz="8" w:space="0"/>
              <w:right w:val="single" w:color="000000" w:sz="8" w:space="0"/>
            </w:tcBorders>
            <w:noWrap w:val="0"/>
            <w:vAlign w:val="center"/>
          </w:tcPr>
          <w:p w14:paraId="3D0A4E1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647496A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685B376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大厅综合管理系统</w:t>
            </w:r>
          </w:p>
        </w:tc>
        <w:tc>
          <w:tcPr>
            <w:tcW w:w="4156" w:type="dxa"/>
            <w:tcBorders>
              <w:top w:val="nil"/>
              <w:left w:val="nil"/>
              <w:bottom w:val="single" w:color="000000" w:sz="8" w:space="0"/>
              <w:right w:val="single" w:color="000000" w:sz="8" w:space="0"/>
            </w:tcBorders>
            <w:noWrap w:val="0"/>
            <w:vAlign w:val="center"/>
          </w:tcPr>
          <w:p w14:paraId="0EBE18E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可视化展示分析</w:t>
            </w:r>
          </w:p>
        </w:tc>
        <w:tc>
          <w:tcPr>
            <w:tcW w:w="11040" w:type="dxa"/>
            <w:tcBorders>
              <w:top w:val="nil"/>
              <w:left w:val="nil"/>
              <w:bottom w:val="single" w:color="000000" w:sz="8" w:space="0"/>
              <w:right w:val="single" w:color="000000" w:sz="8" w:space="0"/>
            </w:tcBorders>
            <w:noWrap w:val="0"/>
            <w:vAlign w:val="center"/>
          </w:tcPr>
          <w:p w14:paraId="00D6936C">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通过领导侧、群众侧APP服务支撑服务。</w:t>
            </w:r>
          </w:p>
        </w:tc>
        <w:tc>
          <w:tcPr>
            <w:tcW w:w="1171" w:type="dxa"/>
            <w:tcBorders>
              <w:top w:val="nil"/>
              <w:left w:val="nil"/>
              <w:bottom w:val="single" w:color="000000" w:sz="8" w:space="0"/>
              <w:right w:val="single" w:color="000000" w:sz="8" w:space="0"/>
            </w:tcBorders>
            <w:noWrap/>
            <w:vAlign w:val="center"/>
          </w:tcPr>
          <w:p w14:paraId="1D4C951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4EFF975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751C079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0EECD3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0" w:hRule="atLeast"/>
        </w:trPr>
        <w:tc>
          <w:tcPr>
            <w:tcW w:w="750" w:type="dxa"/>
            <w:tcBorders>
              <w:top w:val="nil"/>
              <w:left w:val="single" w:color="000000" w:sz="8" w:space="0"/>
              <w:bottom w:val="single" w:color="000000" w:sz="8" w:space="0"/>
              <w:right w:val="single" w:color="000000" w:sz="8" w:space="0"/>
            </w:tcBorders>
            <w:noWrap/>
            <w:vAlign w:val="center"/>
          </w:tcPr>
          <w:p w14:paraId="2F3C836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103</w:t>
            </w:r>
          </w:p>
        </w:tc>
        <w:tc>
          <w:tcPr>
            <w:tcW w:w="1995" w:type="dxa"/>
            <w:tcBorders>
              <w:top w:val="nil"/>
              <w:left w:val="nil"/>
              <w:bottom w:val="single" w:color="000000" w:sz="8" w:space="0"/>
              <w:right w:val="single" w:color="000000" w:sz="8" w:space="0"/>
            </w:tcBorders>
            <w:noWrap w:val="0"/>
            <w:vAlign w:val="center"/>
          </w:tcPr>
          <w:p w14:paraId="4D96E5F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5818740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TLF</w:t>
            </w:r>
          </w:p>
        </w:tc>
        <w:tc>
          <w:tcPr>
            <w:tcW w:w="3185" w:type="dxa"/>
            <w:tcBorders>
              <w:top w:val="nil"/>
              <w:left w:val="nil"/>
              <w:bottom w:val="single" w:color="000000" w:sz="8" w:space="0"/>
              <w:right w:val="single" w:color="000000" w:sz="8" w:space="0"/>
            </w:tcBorders>
            <w:noWrap w:val="0"/>
            <w:vAlign w:val="center"/>
          </w:tcPr>
          <w:p w14:paraId="5BED75F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政务晓屋管理系统</w:t>
            </w:r>
          </w:p>
        </w:tc>
        <w:tc>
          <w:tcPr>
            <w:tcW w:w="4156" w:type="dxa"/>
            <w:tcBorders>
              <w:top w:val="nil"/>
              <w:left w:val="nil"/>
              <w:bottom w:val="single" w:color="000000" w:sz="8" w:space="0"/>
              <w:right w:val="single" w:color="000000" w:sz="8" w:space="0"/>
            </w:tcBorders>
            <w:noWrap w:val="0"/>
            <w:vAlign w:val="center"/>
          </w:tcPr>
          <w:p w14:paraId="2C106CB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服务证据</w:t>
            </w:r>
          </w:p>
        </w:tc>
        <w:tc>
          <w:tcPr>
            <w:tcW w:w="11040" w:type="dxa"/>
            <w:tcBorders>
              <w:top w:val="nil"/>
              <w:left w:val="nil"/>
              <w:bottom w:val="single" w:color="000000" w:sz="8" w:space="0"/>
              <w:right w:val="single" w:color="000000" w:sz="8" w:space="0"/>
            </w:tcBorders>
            <w:noWrap w:val="0"/>
            <w:vAlign w:val="center"/>
          </w:tcPr>
          <w:p w14:paraId="6385698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业务服务过程全程录音录像（坐席视角），存储180天，支持在线观看和下载。</w:t>
            </w:r>
          </w:p>
        </w:tc>
        <w:tc>
          <w:tcPr>
            <w:tcW w:w="1171" w:type="dxa"/>
            <w:tcBorders>
              <w:top w:val="nil"/>
              <w:left w:val="nil"/>
              <w:bottom w:val="single" w:color="000000" w:sz="8" w:space="0"/>
              <w:right w:val="single" w:color="000000" w:sz="8" w:space="0"/>
            </w:tcBorders>
            <w:noWrap/>
            <w:vAlign w:val="center"/>
          </w:tcPr>
          <w:p w14:paraId="2D2844A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141BF4A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108E9A2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7F178E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0" w:hRule="atLeast"/>
        </w:trPr>
        <w:tc>
          <w:tcPr>
            <w:tcW w:w="750" w:type="dxa"/>
            <w:tcBorders>
              <w:top w:val="nil"/>
              <w:left w:val="single" w:color="000000" w:sz="8" w:space="0"/>
              <w:bottom w:val="single" w:color="000000" w:sz="8" w:space="0"/>
              <w:right w:val="single" w:color="000000" w:sz="8" w:space="0"/>
            </w:tcBorders>
            <w:noWrap/>
            <w:vAlign w:val="center"/>
          </w:tcPr>
          <w:p w14:paraId="41AA5D7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104</w:t>
            </w:r>
          </w:p>
        </w:tc>
        <w:tc>
          <w:tcPr>
            <w:tcW w:w="1995" w:type="dxa"/>
            <w:tcBorders>
              <w:top w:val="nil"/>
              <w:left w:val="nil"/>
              <w:bottom w:val="single" w:color="000000" w:sz="8" w:space="0"/>
              <w:right w:val="single" w:color="000000" w:sz="8" w:space="0"/>
            </w:tcBorders>
            <w:noWrap w:val="0"/>
            <w:vAlign w:val="center"/>
          </w:tcPr>
          <w:p w14:paraId="2877B13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0E1DAB9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2919BEA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政务晓屋管理系统</w:t>
            </w:r>
          </w:p>
        </w:tc>
        <w:tc>
          <w:tcPr>
            <w:tcW w:w="4156" w:type="dxa"/>
            <w:tcBorders>
              <w:top w:val="nil"/>
              <w:left w:val="nil"/>
              <w:bottom w:val="single" w:color="000000" w:sz="8" w:space="0"/>
              <w:right w:val="single" w:color="000000" w:sz="8" w:space="0"/>
            </w:tcBorders>
            <w:noWrap w:val="0"/>
            <w:vAlign w:val="center"/>
          </w:tcPr>
          <w:p w14:paraId="6DD218F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坐席人员管理</w:t>
            </w:r>
          </w:p>
        </w:tc>
        <w:tc>
          <w:tcPr>
            <w:tcW w:w="11040" w:type="dxa"/>
            <w:tcBorders>
              <w:top w:val="nil"/>
              <w:left w:val="nil"/>
              <w:bottom w:val="single" w:color="000000" w:sz="8" w:space="0"/>
              <w:right w:val="single" w:color="000000" w:sz="8" w:space="0"/>
            </w:tcBorders>
            <w:noWrap w:val="0"/>
            <w:vAlign w:val="center"/>
          </w:tcPr>
          <w:p w14:paraId="242C97E7">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可自助管理坐席人员，也可由晓屋管理员协助管理。</w:t>
            </w:r>
          </w:p>
        </w:tc>
        <w:tc>
          <w:tcPr>
            <w:tcW w:w="1171" w:type="dxa"/>
            <w:tcBorders>
              <w:top w:val="nil"/>
              <w:left w:val="nil"/>
              <w:bottom w:val="single" w:color="000000" w:sz="8" w:space="0"/>
              <w:right w:val="single" w:color="000000" w:sz="8" w:space="0"/>
            </w:tcBorders>
            <w:noWrap/>
            <w:vAlign w:val="center"/>
          </w:tcPr>
          <w:p w14:paraId="50A929C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4A6091B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7239027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5CF01F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0" w:hRule="atLeast"/>
        </w:trPr>
        <w:tc>
          <w:tcPr>
            <w:tcW w:w="750" w:type="dxa"/>
            <w:tcBorders>
              <w:top w:val="nil"/>
              <w:left w:val="single" w:color="000000" w:sz="8" w:space="0"/>
              <w:bottom w:val="single" w:color="000000" w:sz="8" w:space="0"/>
              <w:right w:val="single" w:color="000000" w:sz="8" w:space="0"/>
            </w:tcBorders>
            <w:noWrap/>
            <w:vAlign w:val="center"/>
          </w:tcPr>
          <w:p w14:paraId="255E61C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105</w:t>
            </w:r>
          </w:p>
        </w:tc>
        <w:tc>
          <w:tcPr>
            <w:tcW w:w="1995" w:type="dxa"/>
            <w:tcBorders>
              <w:top w:val="nil"/>
              <w:left w:val="nil"/>
              <w:bottom w:val="single" w:color="000000" w:sz="8" w:space="0"/>
              <w:right w:val="single" w:color="000000" w:sz="8" w:space="0"/>
            </w:tcBorders>
            <w:noWrap w:val="0"/>
            <w:vAlign w:val="center"/>
          </w:tcPr>
          <w:p w14:paraId="6BCD84C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06F0C0B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314C99E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政务晓屋管理系统</w:t>
            </w:r>
          </w:p>
        </w:tc>
        <w:tc>
          <w:tcPr>
            <w:tcW w:w="4156" w:type="dxa"/>
            <w:tcBorders>
              <w:top w:val="nil"/>
              <w:left w:val="nil"/>
              <w:bottom w:val="single" w:color="000000" w:sz="8" w:space="0"/>
              <w:right w:val="single" w:color="000000" w:sz="8" w:space="0"/>
            </w:tcBorders>
            <w:noWrap w:val="0"/>
            <w:vAlign w:val="center"/>
          </w:tcPr>
          <w:p w14:paraId="615CE76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业务事项管理</w:t>
            </w:r>
          </w:p>
        </w:tc>
        <w:tc>
          <w:tcPr>
            <w:tcW w:w="11040" w:type="dxa"/>
            <w:tcBorders>
              <w:top w:val="nil"/>
              <w:left w:val="nil"/>
              <w:bottom w:val="single" w:color="000000" w:sz="8" w:space="0"/>
              <w:right w:val="single" w:color="000000" w:sz="8" w:space="0"/>
            </w:tcBorders>
            <w:noWrap w:val="0"/>
            <w:vAlign w:val="center"/>
          </w:tcPr>
          <w:p w14:paraId="5AD2CD51">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可自助管理业务事项，也可由晓屋管理员协助管理。</w:t>
            </w:r>
          </w:p>
        </w:tc>
        <w:tc>
          <w:tcPr>
            <w:tcW w:w="1171" w:type="dxa"/>
            <w:tcBorders>
              <w:top w:val="nil"/>
              <w:left w:val="nil"/>
              <w:bottom w:val="single" w:color="000000" w:sz="8" w:space="0"/>
              <w:right w:val="single" w:color="000000" w:sz="8" w:space="0"/>
            </w:tcBorders>
            <w:noWrap/>
            <w:vAlign w:val="center"/>
          </w:tcPr>
          <w:p w14:paraId="65C583D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3723F2B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4C737F4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50131E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0" w:hRule="atLeast"/>
        </w:trPr>
        <w:tc>
          <w:tcPr>
            <w:tcW w:w="750" w:type="dxa"/>
            <w:tcBorders>
              <w:top w:val="nil"/>
              <w:left w:val="single" w:color="000000" w:sz="8" w:space="0"/>
              <w:bottom w:val="single" w:color="000000" w:sz="8" w:space="0"/>
              <w:right w:val="single" w:color="000000" w:sz="8" w:space="0"/>
            </w:tcBorders>
            <w:noWrap/>
            <w:vAlign w:val="center"/>
          </w:tcPr>
          <w:p w14:paraId="1624015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106</w:t>
            </w:r>
          </w:p>
        </w:tc>
        <w:tc>
          <w:tcPr>
            <w:tcW w:w="1995" w:type="dxa"/>
            <w:tcBorders>
              <w:top w:val="nil"/>
              <w:left w:val="nil"/>
              <w:bottom w:val="single" w:color="000000" w:sz="8" w:space="0"/>
              <w:right w:val="single" w:color="000000" w:sz="8" w:space="0"/>
            </w:tcBorders>
            <w:noWrap w:val="0"/>
            <w:vAlign w:val="center"/>
          </w:tcPr>
          <w:p w14:paraId="74EB4A4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4E48426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7053268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政务晓屋管理系统</w:t>
            </w:r>
          </w:p>
        </w:tc>
        <w:tc>
          <w:tcPr>
            <w:tcW w:w="4156" w:type="dxa"/>
            <w:tcBorders>
              <w:top w:val="nil"/>
              <w:left w:val="nil"/>
              <w:bottom w:val="single" w:color="000000" w:sz="8" w:space="0"/>
              <w:right w:val="single" w:color="000000" w:sz="8" w:space="0"/>
            </w:tcBorders>
            <w:noWrap w:val="0"/>
            <w:vAlign w:val="center"/>
          </w:tcPr>
          <w:p w14:paraId="201AC78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实时监控</w:t>
            </w:r>
          </w:p>
        </w:tc>
        <w:tc>
          <w:tcPr>
            <w:tcW w:w="11040" w:type="dxa"/>
            <w:tcBorders>
              <w:top w:val="nil"/>
              <w:left w:val="nil"/>
              <w:bottom w:val="single" w:color="000000" w:sz="8" w:space="0"/>
              <w:right w:val="single" w:color="000000" w:sz="8" w:space="0"/>
            </w:tcBorders>
            <w:noWrap w:val="0"/>
            <w:vAlign w:val="center"/>
          </w:tcPr>
          <w:p w14:paraId="589E132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查看今日实时服务情况、实时坐席情况、实时晓屋情况、实时风险预警。</w:t>
            </w:r>
          </w:p>
        </w:tc>
        <w:tc>
          <w:tcPr>
            <w:tcW w:w="1171" w:type="dxa"/>
            <w:tcBorders>
              <w:top w:val="nil"/>
              <w:left w:val="nil"/>
              <w:bottom w:val="single" w:color="000000" w:sz="8" w:space="0"/>
              <w:right w:val="single" w:color="000000" w:sz="8" w:space="0"/>
            </w:tcBorders>
            <w:noWrap/>
            <w:vAlign w:val="center"/>
          </w:tcPr>
          <w:p w14:paraId="79C6DBA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073EDBC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54EC528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63CC03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0" w:hRule="atLeast"/>
        </w:trPr>
        <w:tc>
          <w:tcPr>
            <w:tcW w:w="750" w:type="dxa"/>
            <w:tcBorders>
              <w:top w:val="nil"/>
              <w:left w:val="single" w:color="000000" w:sz="8" w:space="0"/>
              <w:bottom w:val="single" w:color="000000" w:sz="8" w:space="0"/>
              <w:right w:val="single" w:color="000000" w:sz="8" w:space="0"/>
            </w:tcBorders>
            <w:noWrap/>
            <w:vAlign w:val="center"/>
          </w:tcPr>
          <w:p w14:paraId="606B2FB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107</w:t>
            </w:r>
          </w:p>
        </w:tc>
        <w:tc>
          <w:tcPr>
            <w:tcW w:w="1995" w:type="dxa"/>
            <w:tcBorders>
              <w:top w:val="nil"/>
              <w:left w:val="nil"/>
              <w:bottom w:val="single" w:color="000000" w:sz="8" w:space="0"/>
              <w:right w:val="single" w:color="000000" w:sz="8" w:space="0"/>
            </w:tcBorders>
            <w:noWrap w:val="0"/>
            <w:vAlign w:val="center"/>
          </w:tcPr>
          <w:p w14:paraId="4A42BD7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230DA87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7C6FFA8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政务晓屋管理系统</w:t>
            </w:r>
          </w:p>
        </w:tc>
        <w:tc>
          <w:tcPr>
            <w:tcW w:w="4156" w:type="dxa"/>
            <w:tcBorders>
              <w:top w:val="nil"/>
              <w:left w:val="nil"/>
              <w:bottom w:val="single" w:color="000000" w:sz="8" w:space="0"/>
              <w:right w:val="single" w:color="000000" w:sz="8" w:space="0"/>
            </w:tcBorders>
            <w:noWrap w:val="0"/>
            <w:vAlign w:val="center"/>
          </w:tcPr>
          <w:p w14:paraId="6B76090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风险监控</w:t>
            </w:r>
          </w:p>
        </w:tc>
        <w:tc>
          <w:tcPr>
            <w:tcW w:w="11040" w:type="dxa"/>
            <w:tcBorders>
              <w:top w:val="nil"/>
              <w:left w:val="nil"/>
              <w:bottom w:val="single" w:color="000000" w:sz="8" w:space="0"/>
              <w:right w:val="single" w:color="000000" w:sz="8" w:space="0"/>
            </w:tcBorders>
            <w:noWrap w:val="0"/>
            <w:vAlign w:val="center"/>
          </w:tcPr>
          <w:p w14:paraId="1CDA2036">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查看历史风险情况，可根据风险类型、风险状态、风险发生与关闭时间进行筛选。</w:t>
            </w:r>
          </w:p>
        </w:tc>
        <w:tc>
          <w:tcPr>
            <w:tcW w:w="1171" w:type="dxa"/>
            <w:tcBorders>
              <w:top w:val="nil"/>
              <w:left w:val="nil"/>
              <w:bottom w:val="single" w:color="000000" w:sz="8" w:space="0"/>
              <w:right w:val="single" w:color="000000" w:sz="8" w:space="0"/>
            </w:tcBorders>
            <w:noWrap/>
            <w:vAlign w:val="center"/>
          </w:tcPr>
          <w:p w14:paraId="2F85C17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688FA82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50C62BC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03739D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91" w:hRule="atLeast"/>
        </w:trPr>
        <w:tc>
          <w:tcPr>
            <w:tcW w:w="750" w:type="dxa"/>
            <w:tcBorders>
              <w:top w:val="nil"/>
              <w:left w:val="single" w:color="000000" w:sz="8" w:space="0"/>
              <w:bottom w:val="single" w:color="000000" w:sz="8" w:space="0"/>
              <w:right w:val="single" w:color="000000" w:sz="8" w:space="0"/>
            </w:tcBorders>
            <w:noWrap/>
            <w:vAlign w:val="center"/>
          </w:tcPr>
          <w:p w14:paraId="3E2220A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108</w:t>
            </w:r>
          </w:p>
        </w:tc>
        <w:tc>
          <w:tcPr>
            <w:tcW w:w="1995" w:type="dxa"/>
            <w:tcBorders>
              <w:top w:val="nil"/>
              <w:left w:val="nil"/>
              <w:bottom w:val="single" w:color="000000" w:sz="8" w:space="0"/>
              <w:right w:val="single" w:color="000000" w:sz="8" w:space="0"/>
            </w:tcBorders>
            <w:noWrap w:val="0"/>
            <w:vAlign w:val="center"/>
          </w:tcPr>
          <w:p w14:paraId="3DA0A1B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4DB9831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5F73A83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政务晓屋管理系统</w:t>
            </w:r>
          </w:p>
        </w:tc>
        <w:tc>
          <w:tcPr>
            <w:tcW w:w="4156" w:type="dxa"/>
            <w:tcBorders>
              <w:top w:val="nil"/>
              <w:left w:val="nil"/>
              <w:bottom w:val="single" w:color="000000" w:sz="8" w:space="0"/>
              <w:right w:val="single" w:color="000000" w:sz="8" w:space="0"/>
            </w:tcBorders>
            <w:noWrap w:val="0"/>
            <w:vAlign w:val="center"/>
          </w:tcPr>
          <w:p w14:paraId="04A23C2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服务监控</w:t>
            </w:r>
          </w:p>
        </w:tc>
        <w:tc>
          <w:tcPr>
            <w:tcW w:w="11040" w:type="dxa"/>
            <w:tcBorders>
              <w:top w:val="nil"/>
              <w:left w:val="nil"/>
              <w:bottom w:val="single" w:color="000000" w:sz="8" w:space="0"/>
              <w:right w:val="single" w:color="000000" w:sz="8" w:space="0"/>
            </w:tcBorders>
            <w:noWrap w:val="0"/>
            <w:vAlign w:val="center"/>
          </w:tcPr>
          <w:p w14:paraId="3FE7B4D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查看历史服务情况、可根据业务区域、业务事项、坐席人员、用户姓名、服务时间等进行筛选。</w:t>
            </w:r>
          </w:p>
        </w:tc>
        <w:tc>
          <w:tcPr>
            <w:tcW w:w="1171" w:type="dxa"/>
            <w:tcBorders>
              <w:top w:val="nil"/>
              <w:left w:val="nil"/>
              <w:bottom w:val="single" w:color="000000" w:sz="8" w:space="0"/>
              <w:right w:val="single" w:color="000000" w:sz="8" w:space="0"/>
            </w:tcBorders>
            <w:noWrap/>
            <w:vAlign w:val="center"/>
          </w:tcPr>
          <w:p w14:paraId="6E48457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7307491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5FB7D02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05078B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0" w:hRule="atLeast"/>
        </w:trPr>
        <w:tc>
          <w:tcPr>
            <w:tcW w:w="750" w:type="dxa"/>
            <w:tcBorders>
              <w:top w:val="nil"/>
              <w:left w:val="single" w:color="000000" w:sz="8" w:space="0"/>
              <w:bottom w:val="single" w:color="000000" w:sz="8" w:space="0"/>
              <w:right w:val="single" w:color="000000" w:sz="8" w:space="0"/>
            </w:tcBorders>
            <w:noWrap/>
            <w:vAlign w:val="center"/>
          </w:tcPr>
          <w:p w14:paraId="569A1F1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109</w:t>
            </w:r>
          </w:p>
        </w:tc>
        <w:tc>
          <w:tcPr>
            <w:tcW w:w="1995" w:type="dxa"/>
            <w:tcBorders>
              <w:top w:val="nil"/>
              <w:left w:val="nil"/>
              <w:bottom w:val="single" w:color="000000" w:sz="8" w:space="0"/>
              <w:right w:val="single" w:color="000000" w:sz="8" w:space="0"/>
            </w:tcBorders>
            <w:noWrap w:val="0"/>
            <w:vAlign w:val="center"/>
          </w:tcPr>
          <w:p w14:paraId="3C6F5AF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2B5EA31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7DB6A18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政务晓屋管理系统</w:t>
            </w:r>
          </w:p>
        </w:tc>
        <w:tc>
          <w:tcPr>
            <w:tcW w:w="4156" w:type="dxa"/>
            <w:tcBorders>
              <w:top w:val="nil"/>
              <w:left w:val="nil"/>
              <w:bottom w:val="single" w:color="000000" w:sz="8" w:space="0"/>
              <w:right w:val="single" w:color="000000" w:sz="8" w:space="0"/>
            </w:tcBorders>
            <w:noWrap w:val="0"/>
            <w:vAlign w:val="center"/>
          </w:tcPr>
          <w:p w14:paraId="5DF0BBA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环境监控</w:t>
            </w:r>
          </w:p>
        </w:tc>
        <w:tc>
          <w:tcPr>
            <w:tcW w:w="11040" w:type="dxa"/>
            <w:tcBorders>
              <w:top w:val="nil"/>
              <w:left w:val="nil"/>
              <w:bottom w:val="single" w:color="000000" w:sz="8" w:space="0"/>
              <w:right w:val="single" w:color="000000" w:sz="8" w:space="0"/>
            </w:tcBorders>
            <w:noWrap w:val="0"/>
            <w:vAlign w:val="center"/>
          </w:tcPr>
          <w:p w14:paraId="5C6B0FE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实时查看晓屋的安防监控。</w:t>
            </w:r>
          </w:p>
        </w:tc>
        <w:tc>
          <w:tcPr>
            <w:tcW w:w="1171" w:type="dxa"/>
            <w:tcBorders>
              <w:top w:val="nil"/>
              <w:left w:val="nil"/>
              <w:bottom w:val="single" w:color="000000" w:sz="8" w:space="0"/>
              <w:right w:val="single" w:color="000000" w:sz="8" w:space="0"/>
            </w:tcBorders>
            <w:noWrap/>
            <w:vAlign w:val="center"/>
          </w:tcPr>
          <w:p w14:paraId="2AAD3AB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5D63ADC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03CEB91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5787B8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72" w:hRule="atLeast"/>
        </w:trPr>
        <w:tc>
          <w:tcPr>
            <w:tcW w:w="750" w:type="dxa"/>
            <w:tcBorders>
              <w:top w:val="nil"/>
              <w:left w:val="single" w:color="000000" w:sz="8" w:space="0"/>
              <w:bottom w:val="single" w:color="000000" w:sz="8" w:space="0"/>
              <w:right w:val="single" w:color="000000" w:sz="8" w:space="0"/>
            </w:tcBorders>
            <w:noWrap/>
            <w:vAlign w:val="center"/>
          </w:tcPr>
          <w:p w14:paraId="123CC15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110</w:t>
            </w:r>
          </w:p>
        </w:tc>
        <w:tc>
          <w:tcPr>
            <w:tcW w:w="1995" w:type="dxa"/>
            <w:tcBorders>
              <w:top w:val="nil"/>
              <w:left w:val="nil"/>
              <w:bottom w:val="single" w:color="000000" w:sz="8" w:space="0"/>
              <w:right w:val="single" w:color="000000" w:sz="8" w:space="0"/>
            </w:tcBorders>
            <w:noWrap w:val="0"/>
            <w:vAlign w:val="center"/>
          </w:tcPr>
          <w:p w14:paraId="7BF1C50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政务服务平台</w:t>
            </w:r>
          </w:p>
        </w:tc>
        <w:tc>
          <w:tcPr>
            <w:tcW w:w="1721" w:type="dxa"/>
            <w:tcBorders>
              <w:top w:val="nil"/>
              <w:left w:val="nil"/>
              <w:bottom w:val="single" w:color="000000" w:sz="8" w:space="0"/>
              <w:right w:val="single" w:color="000000" w:sz="8" w:space="0"/>
            </w:tcBorders>
            <w:noWrap/>
            <w:vAlign w:val="center"/>
          </w:tcPr>
          <w:p w14:paraId="6546777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w:t>
            </w:r>
          </w:p>
        </w:tc>
        <w:tc>
          <w:tcPr>
            <w:tcW w:w="3185" w:type="dxa"/>
            <w:tcBorders>
              <w:top w:val="nil"/>
              <w:left w:val="nil"/>
              <w:bottom w:val="single" w:color="000000" w:sz="8" w:space="0"/>
              <w:right w:val="single" w:color="000000" w:sz="8" w:space="0"/>
            </w:tcBorders>
            <w:noWrap w:val="0"/>
            <w:vAlign w:val="center"/>
          </w:tcPr>
          <w:p w14:paraId="6DF9A62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政务晓屋管理系统</w:t>
            </w:r>
          </w:p>
        </w:tc>
        <w:tc>
          <w:tcPr>
            <w:tcW w:w="4156" w:type="dxa"/>
            <w:tcBorders>
              <w:top w:val="nil"/>
              <w:left w:val="nil"/>
              <w:bottom w:val="single" w:color="000000" w:sz="8" w:space="0"/>
              <w:right w:val="single" w:color="000000" w:sz="8" w:space="0"/>
            </w:tcBorders>
            <w:noWrap w:val="0"/>
            <w:vAlign w:val="center"/>
          </w:tcPr>
          <w:p w14:paraId="6CA6F23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快递监控</w:t>
            </w:r>
          </w:p>
        </w:tc>
        <w:tc>
          <w:tcPr>
            <w:tcW w:w="11040" w:type="dxa"/>
            <w:tcBorders>
              <w:top w:val="nil"/>
              <w:left w:val="nil"/>
              <w:bottom w:val="single" w:color="000000" w:sz="8" w:space="0"/>
              <w:right w:val="single" w:color="000000" w:sz="8" w:space="0"/>
            </w:tcBorders>
            <w:noWrap w:val="0"/>
            <w:vAlign w:val="center"/>
          </w:tcPr>
          <w:p w14:paraId="24B3E7CB">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查看晓屋的快递收件情况，可根据行政区域、网点名称、订单状态、投递时间进行筛选。</w:t>
            </w:r>
          </w:p>
        </w:tc>
        <w:tc>
          <w:tcPr>
            <w:tcW w:w="1171" w:type="dxa"/>
            <w:tcBorders>
              <w:top w:val="nil"/>
              <w:left w:val="nil"/>
              <w:bottom w:val="single" w:color="000000" w:sz="8" w:space="0"/>
              <w:right w:val="single" w:color="000000" w:sz="8" w:space="0"/>
            </w:tcBorders>
            <w:noWrap/>
            <w:vAlign w:val="center"/>
          </w:tcPr>
          <w:p w14:paraId="0161C57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4FB1E7D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4078" w:type="dxa"/>
            <w:tcBorders>
              <w:top w:val="nil"/>
              <w:left w:val="single" w:color="000000" w:sz="8" w:space="0"/>
              <w:bottom w:val="single" w:color="000000" w:sz="8" w:space="0"/>
              <w:right w:val="single" w:color="000000" w:sz="8" w:space="0"/>
            </w:tcBorders>
            <w:noWrap/>
            <w:vAlign w:val="center"/>
          </w:tcPr>
          <w:p w14:paraId="7819DBA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三年服务</w:t>
            </w:r>
          </w:p>
        </w:tc>
      </w:tr>
      <w:tr w14:paraId="6B356C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750" w:type="dxa"/>
            <w:tcBorders>
              <w:top w:val="nil"/>
              <w:left w:val="single" w:color="000000" w:sz="8" w:space="0"/>
              <w:bottom w:val="single" w:color="000000" w:sz="8" w:space="0"/>
              <w:right w:val="single" w:color="000000" w:sz="8" w:space="0"/>
            </w:tcBorders>
            <w:noWrap/>
            <w:vAlign w:val="center"/>
          </w:tcPr>
          <w:p w14:paraId="38A98F8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111</w:t>
            </w:r>
          </w:p>
        </w:tc>
        <w:tc>
          <w:tcPr>
            <w:tcW w:w="22097" w:type="dxa"/>
            <w:gridSpan w:val="5"/>
            <w:tcBorders>
              <w:top w:val="nil"/>
              <w:left w:val="single" w:color="000000" w:sz="8" w:space="0"/>
              <w:bottom w:val="single" w:color="000000" w:sz="8" w:space="0"/>
              <w:right w:val="single" w:color="000000" w:sz="8" w:space="0"/>
            </w:tcBorders>
            <w:noWrap/>
            <w:vAlign w:val="center"/>
          </w:tcPr>
          <w:p w14:paraId="3D2D6C5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ILF数量合计：</w:t>
            </w:r>
          </w:p>
        </w:tc>
        <w:tc>
          <w:tcPr>
            <w:tcW w:w="1171" w:type="dxa"/>
            <w:tcBorders>
              <w:top w:val="nil"/>
              <w:left w:val="nil"/>
              <w:bottom w:val="single" w:color="000000" w:sz="8" w:space="0"/>
              <w:right w:val="single" w:color="000000" w:sz="8" w:space="0"/>
            </w:tcBorders>
            <w:noWrap w:val="0"/>
            <w:vAlign w:val="center"/>
          </w:tcPr>
          <w:p w14:paraId="52C7F34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3317E7C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134 </w:t>
            </w:r>
          </w:p>
        </w:tc>
        <w:tc>
          <w:tcPr>
            <w:tcW w:w="4078" w:type="dxa"/>
            <w:tcBorders>
              <w:top w:val="nil"/>
              <w:left w:val="single" w:color="000000" w:sz="8" w:space="0"/>
              <w:bottom w:val="single" w:color="000000" w:sz="8" w:space="0"/>
              <w:right w:val="single" w:color="000000" w:sz="8" w:space="0"/>
            </w:tcBorders>
            <w:noWrap/>
            <w:vAlign w:val="center"/>
          </w:tcPr>
          <w:p w14:paraId="6BB0F715">
            <w:pPr>
              <w:jc w:val="center"/>
              <w:rPr>
                <w:rFonts w:hint="eastAsia" w:ascii="宋体" w:hAnsi="宋体" w:eastAsia="宋体" w:cs="宋体"/>
                <w:i w:val="0"/>
                <w:iCs w:val="0"/>
                <w:color w:val="auto"/>
                <w:sz w:val="24"/>
                <w:szCs w:val="24"/>
                <w:highlight w:val="none"/>
                <w:u w:val="none"/>
              </w:rPr>
            </w:pPr>
          </w:p>
        </w:tc>
      </w:tr>
      <w:tr w14:paraId="14B46F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7" w:hRule="atLeast"/>
        </w:trPr>
        <w:tc>
          <w:tcPr>
            <w:tcW w:w="750" w:type="dxa"/>
            <w:tcBorders>
              <w:top w:val="nil"/>
              <w:left w:val="single" w:color="000000" w:sz="8" w:space="0"/>
              <w:bottom w:val="single" w:color="000000" w:sz="8" w:space="0"/>
              <w:right w:val="single" w:color="000000" w:sz="8" w:space="0"/>
            </w:tcBorders>
            <w:noWrap/>
            <w:vAlign w:val="center"/>
          </w:tcPr>
          <w:p w14:paraId="39CDBFD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112</w:t>
            </w:r>
          </w:p>
        </w:tc>
        <w:tc>
          <w:tcPr>
            <w:tcW w:w="22097" w:type="dxa"/>
            <w:gridSpan w:val="5"/>
            <w:tcBorders>
              <w:top w:val="nil"/>
              <w:left w:val="single" w:color="000000" w:sz="8" w:space="0"/>
              <w:bottom w:val="single" w:color="000000" w:sz="8" w:space="0"/>
              <w:right w:val="single" w:color="000000" w:sz="8" w:space="0"/>
            </w:tcBorders>
            <w:noWrap/>
            <w:vAlign w:val="center"/>
          </w:tcPr>
          <w:p w14:paraId="0F67750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EIF数量合计：</w:t>
            </w:r>
          </w:p>
        </w:tc>
        <w:tc>
          <w:tcPr>
            <w:tcW w:w="1171" w:type="dxa"/>
            <w:tcBorders>
              <w:top w:val="nil"/>
              <w:left w:val="nil"/>
              <w:bottom w:val="single" w:color="000000" w:sz="8" w:space="0"/>
              <w:right w:val="single" w:color="000000" w:sz="8" w:space="0"/>
            </w:tcBorders>
            <w:noWrap w:val="0"/>
            <w:vAlign w:val="center"/>
          </w:tcPr>
          <w:p w14:paraId="7839D9B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nil"/>
              <w:left w:val="single" w:color="000000" w:sz="8" w:space="0"/>
              <w:bottom w:val="single" w:color="000000" w:sz="8" w:space="0"/>
              <w:right w:val="single" w:color="000000" w:sz="8" w:space="0"/>
            </w:tcBorders>
            <w:noWrap/>
            <w:vAlign w:val="center"/>
          </w:tcPr>
          <w:p w14:paraId="5E385F1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0 </w:t>
            </w:r>
          </w:p>
        </w:tc>
        <w:tc>
          <w:tcPr>
            <w:tcW w:w="4078" w:type="dxa"/>
            <w:tcBorders>
              <w:top w:val="nil"/>
              <w:left w:val="single" w:color="000000" w:sz="8" w:space="0"/>
              <w:bottom w:val="single" w:color="000000" w:sz="8" w:space="0"/>
              <w:right w:val="single" w:color="000000" w:sz="8" w:space="0"/>
            </w:tcBorders>
            <w:noWrap/>
            <w:vAlign w:val="center"/>
          </w:tcPr>
          <w:p w14:paraId="54981D4B">
            <w:pPr>
              <w:jc w:val="center"/>
              <w:rPr>
                <w:rFonts w:hint="eastAsia" w:ascii="宋体" w:hAnsi="宋体" w:eastAsia="宋体" w:cs="宋体"/>
                <w:i w:val="0"/>
                <w:iCs w:val="0"/>
                <w:color w:val="auto"/>
                <w:sz w:val="24"/>
                <w:szCs w:val="24"/>
                <w:highlight w:val="none"/>
                <w:u w:val="none"/>
              </w:rPr>
            </w:pPr>
          </w:p>
        </w:tc>
      </w:tr>
      <w:tr w14:paraId="098891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154" w:hRule="atLeast"/>
        </w:trPr>
        <w:tc>
          <w:tcPr>
            <w:tcW w:w="750" w:type="dxa"/>
            <w:tcBorders>
              <w:top w:val="nil"/>
              <w:left w:val="single" w:color="000000" w:sz="8" w:space="0"/>
              <w:bottom w:val="single" w:color="000000" w:sz="8" w:space="0"/>
              <w:right w:val="single" w:color="000000" w:sz="8" w:space="0"/>
            </w:tcBorders>
            <w:noWrap/>
            <w:vAlign w:val="center"/>
          </w:tcPr>
          <w:p w14:paraId="64550DB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113</w:t>
            </w:r>
          </w:p>
        </w:tc>
        <w:tc>
          <w:tcPr>
            <w:tcW w:w="22097" w:type="dxa"/>
            <w:gridSpan w:val="5"/>
            <w:tcBorders>
              <w:top w:val="nil"/>
              <w:left w:val="single" w:color="000000" w:sz="8" w:space="0"/>
              <w:bottom w:val="single" w:color="000000" w:sz="8" w:space="0"/>
              <w:right w:val="single" w:color="000000" w:sz="8" w:space="0"/>
            </w:tcBorders>
            <w:noWrap/>
            <w:vAlign w:val="center"/>
          </w:tcPr>
          <w:p w14:paraId="1644B2C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功能点数合计：</w:t>
            </w:r>
          </w:p>
        </w:tc>
        <w:tc>
          <w:tcPr>
            <w:tcW w:w="1171" w:type="dxa"/>
            <w:tcBorders>
              <w:top w:val="nil"/>
              <w:left w:val="nil"/>
              <w:bottom w:val="single" w:color="000000" w:sz="8" w:space="0"/>
              <w:right w:val="single" w:color="000000" w:sz="8" w:space="0"/>
            </w:tcBorders>
            <w:noWrap w:val="0"/>
            <w:vAlign w:val="center"/>
          </w:tcPr>
          <w:p w14:paraId="6688226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个</w:t>
            </w:r>
          </w:p>
        </w:tc>
        <w:tc>
          <w:tcPr>
            <w:tcW w:w="2544" w:type="dxa"/>
            <w:tcBorders>
              <w:top w:val="single" w:color="000000" w:sz="8" w:space="0"/>
              <w:left w:val="single" w:color="000000" w:sz="8" w:space="0"/>
              <w:bottom w:val="single" w:color="000000" w:sz="8" w:space="0"/>
              <w:right w:val="single" w:color="000000" w:sz="8" w:space="0"/>
            </w:tcBorders>
            <w:noWrap/>
            <w:vAlign w:val="center"/>
          </w:tcPr>
          <w:p w14:paraId="0FEB3685">
            <w:pPr>
              <w:keepNext w:val="0"/>
              <w:keepLines w:val="0"/>
              <w:widowControl/>
              <w:suppressLineNumbers w:val="0"/>
              <w:jc w:val="righ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4,690.00 </w:t>
            </w:r>
          </w:p>
        </w:tc>
        <w:tc>
          <w:tcPr>
            <w:tcW w:w="4078" w:type="dxa"/>
            <w:tcBorders>
              <w:top w:val="nil"/>
              <w:left w:val="single" w:color="000000" w:sz="8" w:space="0"/>
              <w:bottom w:val="nil"/>
              <w:right w:val="single" w:color="000000" w:sz="8" w:space="0"/>
            </w:tcBorders>
            <w:noWrap w:val="0"/>
            <w:vAlign w:val="center"/>
          </w:tcPr>
          <w:p w14:paraId="42E2FEC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功能点数合计= 35×ILF数量合计（即 N）+15×EIF 数量合计（即M）</w:t>
            </w:r>
          </w:p>
        </w:tc>
      </w:tr>
      <w:tr w14:paraId="217595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04" w:hRule="atLeast"/>
        </w:trPr>
        <w:tc>
          <w:tcPr>
            <w:tcW w:w="750" w:type="dxa"/>
            <w:tcBorders>
              <w:top w:val="nil"/>
              <w:left w:val="single" w:color="000000" w:sz="8" w:space="0"/>
              <w:bottom w:val="nil"/>
              <w:right w:val="single" w:color="000000" w:sz="8" w:space="0"/>
            </w:tcBorders>
            <w:noWrap/>
            <w:vAlign w:val="center"/>
          </w:tcPr>
          <w:p w14:paraId="061A16E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114</w:t>
            </w:r>
          </w:p>
        </w:tc>
        <w:tc>
          <w:tcPr>
            <w:tcW w:w="22097" w:type="dxa"/>
            <w:gridSpan w:val="5"/>
            <w:tcBorders>
              <w:top w:val="nil"/>
              <w:left w:val="single" w:color="000000" w:sz="8" w:space="0"/>
              <w:bottom w:val="nil"/>
              <w:right w:val="single" w:color="000000" w:sz="8" w:space="0"/>
            </w:tcBorders>
            <w:noWrap/>
            <w:vAlign w:val="center"/>
          </w:tcPr>
          <w:p w14:paraId="7A44CAF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工作量：</w:t>
            </w:r>
          </w:p>
        </w:tc>
        <w:tc>
          <w:tcPr>
            <w:tcW w:w="1171" w:type="dxa"/>
            <w:tcBorders>
              <w:top w:val="nil"/>
              <w:left w:val="nil"/>
              <w:bottom w:val="nil"/>
              <w:right w:val="single" w:color="000000" w:sz="8" w:space="0"/>
            </w:tcBorders>
            <w:noWrap/>
            <w:vAlign w:val="center"/>
          </w:tcPr>
          <w:p w14:paraId="5AD1CA5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人月</w:t>
            </w:r>
          </w:p>
        </w:tc>
        <w:tc>
          <w:tcPr>
            <w:tcW w:w="2544" w:type="dxa"/>
            <w:tcBorders>
              <w:top w:val="nil"/>
              <w:left w:val="single" w:color="000000" w:sz="8" w:space="0"/>
              <w:bottom w:val="nil"/>
              <w:right w:val="single" w:color="000000" w:sz="8" w:space="0"/>
            </w:tcBorders>
            <w:noWrap/>
            <w:vAlign w:val="center"/>
          </w:tcPr>
          <w:p w14:paraId="75B992B4">
            <w:pPr>
              <w:jc w:val="right"/>
              <w:rPr>
                <w:rFonts w:hint="eastAsia" w:ascii="宋体" w:hAnsi="宋体" w:eastAsia="宋体" w:cs="宋体"/>
                <w:i w:val="0"/>
                <w:iCs w:val="0"/>
                <w:color w:val="auto"/>
                <w:sz w:val="24"/>
                <w:szCs w:val="24"/>
                <w:highlight w:val="none"/>
                <w:u w:val="none"/>
              </w:rPr>
            </w:pPr>
          </w:p>
        </w:tc>
        <w:tc>
          <w:tcPr>
            <w:tcW w:w="4078" w:type="dxa"/>
            <w:tcBorders>
              <w:top w:val="single" w:color="000000" w:sz="8" w:space="0"/>
              <w:left w:val="single" w:color="000000" w:sz="8" w:space="0"/>
              <w:bottom w:val="single" w:color="000000" w:sz="8" w:space="0"/>
              <w:right w:val="single" w:color="000000" w:sz="8" w:space="0"/>
            </w:tcBorders>
            <w:noWrap w:val="0"/>
            <w:vAlign w:val="center"/>
          </w:tcPr>
          <w:p w14:paraId="36D0D8B9">
            <w:pPr>
              <w:jc w:val="center"/>
              <w:rPr>
                <w:rFonts w:hint="eastAsia" w:ascii="宋体" w:hAnsi="宋体" w:eastAsia="宋体" w:cs="宋体"/>
                <w:i w:val="0"/>
                <w:iCs w:val="0"/>
                <w:color w:val="auto"/>
                <w:sz w:val="24"/>
                <w:szCs w:val="24"/>
                <w:highlight w:val="none"/>
                <w:u w:val="none"/>
              </w:rPr>
            </w:pPr>
          </w:p>
        </w:tc>
      </w:tr>
      <w:tr w14:paraId="10106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944" w:hRule="atLeast"/>
        </w:trPr>
        <w:tc>
          <w:tcPr>
            <w:tcW w:w="750" w:type="dxa"/>
            <w:tcBorders>
              <w:top w:val="single" w:color="000000" w:sz="8" w:space="0"/>
              <w:left w:val="single" w:color="000000" w:sz="8" w:space="0"/>
              <w:bottom w:val="single" w:color="000000" w:sz="8" w:space="0"/>
              <w:right w:val="single" w:color="000000" w:sz="8" w:space="0"/>
            </w:tcBorders>
            <w:noWrap/>
            <w:vAlign w:val="center"/>
          </w:tcPr>
          <w:p w14:paraId="1FD424D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115</w:t>
            </w:r>
          </w:p>
        </w:tc>
        <w:tc>
          <w:tcPr>
            <w:tcW w:w="22097" w:type="dxa"/>
            <w:gridSpan w:val="5"/>
            <w:tcBorders>
              <w:top w:val="single" w:color="000000" w:sz="8" w:space="0"/>
              <w:left w:val="single" w:color="000000" w:sz="8" w:space="0"/>
              <w:bottom w:val="single" w:color="000000" w:sz="8" w:space="0"/>
              <w:right w:val="single" w:color="000000" w:sz="8" w:space="0"/>
            </w:tcBorders>
            <w:noWrap/>
            <w:vAlign w:val="center"/>
          </w:tcPr>
          <w:p w14:paraId="1729FDD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基准人月费用：</w:t>
            </w:r>
          </w:p>
        </w:tc>
        <w:tc>
          <w:tcPr>
            <w:tcW w:w="1171" w:type="dxa"/>
            <w:tcBorders>
              <w:top w:val="single" w:color="000000" w:sz="8" w:space="0"/>
              <w:left w:val="nil"/>
              <w:bottom w:val="single" w:color="000000" w:sz="8" w:space="0"/>
              <w:right w:val="single" w:color="000000" w:sz="8" w:space="0"/>
            </w:tcBorders>
            <w:noWrap/>
            <w:vAlign w:val="center"/>
          </w:tcPr>
          <w:p w14:paraId="594A786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元/月</w:t>
            </w:r>
          </w:p>
        </w:tc>
        <w:tc>
          <w:tcPr>
            <w:tcW w:w="2544" w:type="dxa"/>
            <w:tcBorders>
              <w:top w:val="single" w:color="000000" w:sz="8" w:space="0"/>
              <w:left w:val="single" w:color="000000" w:sz="8" w:space="0"/>
              <w:bottom w:val="single" w:color="000000" w:sz="8" w:space="0"/>
              <w:right w:val="single" w:color="000000" w:sz="8" w:space="0"/>
            </w:tcBorders>
            <w:noWrap/>
            <w:vAlign w:val="center"/>
          </w:tcPr>
          <w:p w14:paraId="4169E2FD">
            <w:pPr>
              <w:jc w:val="right"/>
              <w:rPr>
                <w:rFonts w:hint="eastAsia" w:ascii="宋体" w:hAnsi="宋体" w:eastAsia="宋体" w:cs="宋体"/>
                <w:i w:val="0"/>
                <w:iCs w:val="0"/>
                <w:color w:val="auto"/>
                <w:sz w:val="24"/>
                <w:szCs w:val="24"/>
                <w:highlight w:val="none"/>
                <w:u w:val="none"/>
              </w:rPr>
            </w:pPr>
          </w:p>
        </w:tc>
        <w:tc>
          <w:tcPr>
            <w:tcW w:w="4078" w:type="dxa"/>
            <w:tcBorders>
              <w:top w:val="single" w:color="000000" w:sz="8" w:space="0"/>
              <w:left w:val="single" w:color="000000" w:sz="8" w:space="0"/>
              <w:bottom w:val="single" w:color="000000" w:sz="8" w:space="0"/>
              <w:right w:val="single" w:color="000000" w:sz="8" w:space="0"/>
            </w:tcBorders>
            <w:noWrap w:val="0"/>
            <w:vAlign w:val="center"/>
          </w:tcPr>
          <w:p w14:paraId="7C688C12">
            <w:pPr>
              <w:jc w:val="center"/>
              <w:rPr>
                <w:rFonts w:hint="eastAsia" w:ascii="宋体" w:hAnsi="宋体" w:eastAsia="宋体" w:cs="宋体"/>
                <w:i w:val="0"/>
                <w:iCs w:val="0"/>
                <w:color w:val="auto"/>
                <w:sz w:val="24"/>
                <w:szCs w:val="24"/>
                <w:highlight w:val="none"/>
                <w:u w:val="none"/>
              </w:rPr>
            </w:pPr>
          </w:p>
        </w:tc>
      </w:tr>
      <w:tr w14:paraId="67DCFD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8" w:hRule="atLeast"/>
        </w:trPr>
        <w:tc>
          <w:tcPr>
            <w:tcW w:w="750" w:type="dxa"/>
            <w:tcBorders>
              <w:top w:val="nil"/>
              <w:left w:val="single" w:color="000000" w:sz="8" w:space="0"/>
              <w:bottom w:val="single" w:color="000000" w:sz="8" w:space="0"/>
              <w:right w:val="single" w:color="000000" w:sz="8" w:space="0"/>
            </w:tcBorders>
            <w:noWrap/>
            <w:vAlign w:val="center"/>
          </w:tcPr>
          <w:p w14:paraId="1503A706">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116</w:t>
            </w:r>
          </w:p>
        </w:tc>
        <w:tc>
          <w:tcPr>
            <w:tcW w:w="23268" w:type="dxa"/>
            <w:gridSpan w:val="6"/>
            <w:tcBorders>
              <w:top w:val="nil"/>
              <w:left w:val="single" w:color="000000" w:sz="8" w:space="0"/>
              <w:bottom w:val="single" w:color="000000" w:sz="8" w:space="0"/>
              <w:right w:val="single" w:color="000000" w:sz="8" w:space="0"/>
            </w:tcBorders>
            <w:noWrap/>
            <w:vAlign w:val="center"/>
          </w:tcPr>
          <w:p w14:paraId="2DEC1312">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软件服务费用合计：</w:t>
            </w:r>
          </w:p>
        </w:tc>
        <w:tc>
          <w:tcPr>
            <w:tcW w:w="2544" w:type="dxa"/>
            <w:tcBorders>
              <w:top w:val="nil"/>
              <w:left w:val="single" w:color="000000" w:sz="8" w:space="0"/>
              <w:bottom w:val="single" w:color="000000" w:sz="8" w:space="0"/>
              <w:right w:val="single" w:color="000000" w:sz="8" w:space="0"/>
            </w:tcBorders>
            <w:noWrap/>
            <w:vAlign w:val="center"/>
          </w:tcPr>
          <w:p w14:paraId="203A9513">
            <w:pPr>
              <w:jc w:val="right"/>
              <w:rPr>
                <w:rFonts w:hint="eastAsia" w:ascii="宋体" w:hAnsi="宋体" w:eastAsia="宋体" w:cs="宋体"/>
                <w:b/>
                <w:bCs/>
                <w:i w:val="0"/>
                <w:iCs w:val="0"/>
                <w:color w:val="auto"/>
                <w:sz w:val="24"/>
                <w:szCs w:val="24"/>
                <w:highlight w:val="none"/>
                <w:u w:val="none"/>
              </w:rPr>
            </w:pPr>
          </w:p>
        </w:tc>
        <w:tc>
          <w:tcPr>
            <w:tcW w:w="4078" w:type="dxa"/>
            <w:tcBorders>
              <w:top w:val="nil"/>
              <w:left w:val="single" w:color="000000" w:sz="8" w:space="0"/>
              <w:bottom w:val="single" w:color="000000" w:sz="8" w:space="0"/>
              <w:right w:val="single" w:color="000000" w:sz="8" w:space="0"/>
            </w:tcBorders>
            <w:noWrap w:val="0"/>
            <w:vAlign w:val="center"/>
          </w:tcPr>
          <w:p w14:paraId="75DBF8AF">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费用=工作量×人工费用</w:t>
            </w:r>
          </w:p>
        </w:tc>
      </w:tr>
    </w:tbl>
    <w:p w14:paraId="5E6AABAE">
      <w:pPr>
        <w:rPr>
          <w:rFonts w:hint="eastAsia" w:ascii="宋体" w:hAnsi="宋体" w:eastAsia="宋体" w:cs="宋体"/>
          <w:b/>
          <w:bCs/>
          <w:i w:val="0"/>
          <w:iCs w:val="0"/>
          <w:color w:val="auto"/>
          <w:kern w:val="0"/>
          <w:sz w:val="40"/>
          <w:szCs w:val="40"/>
          <w:highlight w:val="none"/>
          <w:u w:val="none"/>
          <w:lang w:val="en-US" w:eastAsia="zh-CN" w:bidi="ar"/>
        </w:rPr>
      </w:pPr>
      <w:r>
        <w:rPr>
          <w:rFonts w:hint="eastAsia" w:ascii="宋体" w:hAnsi="宋体" w:eastAsia="宋体" w:cs="宋体"/>
          <w:b/>
          <w:bCs/>
          <w:i w:val="0"/>
          <w:iCs w:val="0"/>
          <w:color w:val="auto"/>
          <w:kern w:val="0"/>
          <w:sz w:val="40"/>
          <w:szCs w:val="40"/>
          <w:highlight w:val="none"/>
          <w:u w:val="none"/>
          <w:lang w:val="en-US" w:eastAsia="zh-CN" w:bidi="ar"/>
        </w:rPr>
        <w:br w:type="page"/>
      </w:r>
    </w:p>
    <w:tbl>
      <w:tblPr>
        <w:tblStyle w:val="23"/>
        <w:tblW w:w="30239"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36"/>
        <w:gridCol w:w="3318"/>
        <w:gridCol w:w="1758"/>
        <w:gridCol w:w="1756"/>
        <w:gridCol w:w="1756"/>
        <w:gridCol w:w="2093"/>
        <w:gridCol w:w="1758"/>
        <w:gridCol w:w="960"/>
        <w:gridCol w:w="2370"/>
        <w:gridCol w:w="3779"/>
        <w:gridCol w:w="3370"/>
        <w:gridCol w:w="2145"/>
        <w:gridCol w:w="2173"/>
        <w:gridCol w:w="2167"/>
      </w:tblGrid>
      <w:tr w14:paraId="5D6B42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09" w:hRule="atLeast"/>
        </w:trPr>
        <w:tc>
          <w:tcPr>
            <w:tcW w:w="28072" w:type="dxa"/>
            <w:gridSpan w:val="13"/>
            <w:tcBorders>
              <w:top w:val="nil"/>
              <w:left w:val="nil"/>
              <w:bottom w:val="nil"/>
              <w:right w:val="nil"/>
            </w:tcBorders>
            <w:noWrap w:val="0"/>
            <w:vAlign w:val="center"/>
          </w:tcPr>
          <w:p w14:paraId="37E57DD0">
            <w:pPr>
              <w:jc w:val="center"/>
              <w:rPr>
                <w:rFonts w:hint="eastAsia" w:ascii="宋体" w:hAnsi="宋体" w:eastAsia="宋体" w:cs="宋体"/>
                <w:b/>
                <w:bCs/>
                <w:i w:val="0"/>
                <w:iCs w:val="0"/>
                <w:color w:val="auto"/>
                <w:sz w:val="40"/>
                <w:szCs w:val="40"/>
                <w:highlight w:val="none"/>
                <w:u w:val="none"/>
              </w:rPr>
            </w:pPr>
            <w:r>
              <w:rPr>
                <w:rFonts w:hint="eastAsia" w:ascii="宋体" w:hAnsi="宋体" w:eastAsia="宋体" w:cs="宋体"/>
                <w:b/>
                <w:bCs/>
                <w:i w:val="0"/>
                <w:iCs w:val="0"/>
                <w:color w:val="auto"/>
                <w:kern w:val="0"/>
                <w:sz w:val="40"/>
                <w:szCs w:val="40"/>
                <w:highlight w:val="none"/>
                <w:u w:val="none"/>
                <w:lang w:val="en-US" w:eastAsia="zh-CN" w:bidi="ar"/>
              </w:rPr>
              <w:br w:type="page"/>
            </w:r>
            <w:r>
              <w:rPr>
                <w:rFonts w:hint="eastAsia" w:ascii="宋体" w:hAnsi="宋体" w:eastAsia="宋体" w:cs="宋体"/>
                <w:b/>
                <w:bCs/>
                <w:i w:val="0"/>
                <w:iCs w:val="0"/>
                <w:color w:val="auto"/>
                <w:kern w:val="0"/>
                <w:sz w:val="40"/>
                <w:szCs w:val="40"/>
                <w:highlight w:val="none"/>
                <w:u w:val="none"/>
                <w:lang w:val="en-US" w:eastAsia="zh-CN" w:bidi="ar"/>
              </w:rPr>
              <w:br w:type="page"/>
            </w:r>
            <w:r>
              <w:rPr>
                <w:rFonts w:hint="eastAsia" w:ascii="宋体" w:hAnsi="宋体" w:eastAsia="宋体" w:cs="宋体"/>
                <w:b/>
                <w:bCs/>
                <w:i w:val="0"/>
                <w:iCs w:val="0"/>
                <w:color w:val="auto"/>
                <w:kern w:val="0"/>
                <w:sz w:val="40"/>
                <w:szCs w:val="40"/>
                <w:highlight w:val="none"/>
                <w:u w:val="none"/>
                <w:lang w:val="en-US" w:eastAsia="zh-CN" w:bidi="ar"/>
              </w:rPr>
              <w:t>资源服务费用</w:t>
            </w:r>
          </w:p>
        </w:tc>
        <w:tc>
          <w:tcPr>
            <w:tcW w:w="2167" w:type="dxa"/>
            <w:tcBorders>
              <w:top w:val="nil"/>
              <w:left w:val="nil"/>
              <w:bottom w:val="nil"/>
              <w:right w:val="nil"/>
            </w:tcBorders>
            <w:noWrap/>
            <w:vAlign w:val="center"/>
          </w:tcPr>
          <w:p w14:paraId="2631EC0D">
            <w:pPr>
              <w:jc w:val="center"/>
              <w:rPr>
                <w:rFonts w:hint="eastAsia" w:ascii="宋体" w:hAnsi="宋体" w:eastAsia="宋体" w:cs="宋体"/>
                <w:b/>
                <w:bCs/>
                <w:i w:val="0"/>
                <w:iCs w:val="0"/>
                <w:color w:val="auto"/>
                <w:sz w:val="40"/>
                <w:szCs w:val="40"/>
                <w:highlight w:val="none"/>
                <w:u w:val="none"/>
              </w:rPr>
            </w:pPr>
          </w:p>
        </w:tc>
      </w:tr>
      <w:tr w14:paraId="772DED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3" w:hRule="atLeast"/>
        </w:trPr>
        <w:tc>
          <w:tcPr>
            <w:tcW w:w="836" w:type="dxa"/>
            <w:tcBorders>
              <w:top w:val="single" w:color="000000" w:sz="8" w:space="0"/>
              <w:left w:val="single" w:color="000000" w:sz="8" w:space="0"/>
              <w:bottom w:val="single" w:color="000000" w:sz="8" w:space="0"/>
              <w:right w:val="single" w:color="000000" w:sz="8" w:space="0"/>
            </w:tcBorders>
            <w:noWrap w:val="0"/>
            <w:vAlign w:val="center"/>
          </w:tcPr>
          <w:p w14:paraId="776A7886">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序号</w:t>
            </w:r>
          </w:p>
        </w:tc>
        <w:tc>
          <w:tcPr>
            <w:tcW w:w="3318" w:type="dxa"/>
            <w:tcBorders>
              <w:top w:val="single" w:color="000000" w:sz="8" w:space="0"/>
              <w:left w:val="nil"/>
              <w:bottom w:val="single" w:color="000000" w:sz="8" w:space="0"/>
              <w:right w:val="single" w:color="000000" w:sz="8" w:space="0"/>
            </w:tcBorders>
            <w:noWrap w:val="0"/>
            <w:vAlign w:val="center"/>
          </w:tcPr>
          <w:p w14:paraId="377F263A">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规格名称</w:t>
            </w:r>
          </w:p>
        </w:tc>
        <w:tc>
          <w:tcPr>
            <w:tcW w:w="1758" w:type="dxa"/>
            <w:tcBorders>
              <w:top w:val="single" w:color="000000" w:sz="8" w:space="0"/>
              <w:left w:val="nil"/>
              <w:bottom w:val="single" w:color="000000" w:sz="8" w:space="0"/>
              <w:right w:val="single" w:color="000000" w:sz="8" w:space="0"/>
            </w:tcBorders>
            <w:noWrap w:val="0"/>
            <w:vAlign w:val="center"/>
          </w:tcPr>
          <w:p w14:paraId="32C94A5A">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CPU（核）</w:t>
            </w:r>
          </w:p>
        </w:tc>
        <w:tc>
          <w:tcPr>
            <w:tcW w:w="1756" w:type="dxa"/>
            <w:tcBorders>
              <w:top w:val="single" w:color="000000" w:sz="8" w:space="0"/>
              <w:left w:val="nil"/>
              <w:bottom w:val="single" w:color="000000" w:sz="8" w:space="0"/>
              <w:right w:val="single" w:color="000000" w:sz="8" w:space="0"/>
            </w:tcBorders>
            <w:noWrap w:val="0"/>
            <w:vAlign w:val="center"/>
          </w:tcPr>
          <w:p w14:paraId="449FD8B1">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内存(GB)</w:t>
            </w:r>
          </w:p>
        </w:tc>
        <w:tc>
          <w:tcPr>
            <w:tcW w:w="1756" w:type="dxa"/>
            <w:tcBorders>
              <w:top w:val="single" w:color="000000" w:sz="8" w:space="0"/>
              <w:left w:val="nil"/>
              <w:bottom w:val="single" w:color="000000" w:sz="8" w:space="0"/>
              <w:right w:val="single" w:color="000000" w:sz="8" w:space="0"/>
            </w:tcBorders>
            <w:noWrap w:val="0"/>
            <w:vAlign w:val="center"/>
          </w:tcPr>
          <w:p w14:paraId="3DE7E055">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硬盘(GB)</w:t>
            </w:r>
          </w:p>
        </w:tc>
        <w:tc>
          <w:tcPr>
            <w:tcW w:w="2093" w:type="dxa"/>
            <w:tcBorders>
              <w:top w:val="single" w:color="000000" w:sz="8" w:space="0"/>
              <w:left w:val="nil"/>
              <w:bottom w:val="single" w:color="000000" w:sz="8" w:space="0"/>
              <w:right w:val="single" w:color="000000" w:sz="8" w:space="0"/>
            </w:tcBorders>
            <w:noWrap w:val="0"/>
            <w:vAlign w:val="center"/>
          </w:tcPr>
          <w:p w14:paraId="4224EEB7">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操作系统</w:t>
            </w:r>
          </w:p>
        </w:tc>
        <w:tc>
          <w:tcPr>
            <w:tcW w:w="1758" w:type="dxa"/>
            <w:tcBorders>
              <w:top w:val="single" w:color="000000" w:sz="8" w:space="0"/>
              <w:left w:val="nil"/>
              <w:bottom w:val="single" w:color="000000" w:sz="8" w:space="0"/>
              <w:right w:val="single" w:color="000000" w:sz="8" w:space="0"/>
            </w:tcBorders>
            <w:noWrap w:val="0"/>
            <w:vAlign w:val="center"/>
          </w:tcPr>
          <w:p w14:paraId="3721168D">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系统名称</w:t>
            </w:r>
          </w:p>
        </w:tc>
        <w:tc>
          <w:tcPr>
            <w:tcW w:w="960" w:type="dxa"/>
            <w:tcBorders>
              <w:top w:val="single" w:color="000000" w:sz="8" w:space="0"/>
              <w:left w:val="nil"/>
              <w:bottom w:val="single" w:color="000000" w:sz="8" w:space="0"/>
              <w:right w:val="single" w:color="000000" w:sz="8" w:space="0"/>
            </w:tcBorders>
            <w:noWrap w:val="0"/>
            <w:vAlign w:val="center"/>
          </w:tcPr>
          <w:p w14:paraId="1896B1E2">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数量</w:t>
            </w:r>
          </w:p>
        </w:tc>
        <w:tc>
          <w:tcPr>
            <w:tcW w:w="2370" w:type="dxa"/>
            <w:tcBorders>
              <w:top w:val="single" w:color="000000" w:sz="8" w:space="0"/>
              <w:left w:val="nil"/>
              <w:bottom w:val="single" w:color="000000" w:sz="8" w:space="0"/>
              <w:right w:val="single" w:color="000000" w:sz="8" w:space="0"/>
            </w:tcBorders>
            <w:noWrap w:val="0"/>
            <w:vAlign w:val="center"/>
          </w:tcPr>
          <w:p w14:paraId="4A7C97BA">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主机资源费用（元）</w:t>
            </w:r>
          </w:p>
        </w:tc>
        <w:tc>
          <w:tcPr>
            <w:tcW w:w="3779" w:type="dxa"/>
            <w:tcBorders>
              <w:top w:val="single" w:color="000000" w:sz="8" w:space="0"/>
              <w:left w:val="nil"/>
              <w:bottom w:val="single" w:color="000000" w:sz="8" w:space="0"/>
              <w:right w:val="single" w:color="000000" w:sz="8" w:space="0"/>
            </w:tcBorders>
            <w:noWrap w:val="0"/>
            <w:vAlign w:val="center"/>
          </w:tcPr>
          <w:p w14:paraId="331B7767">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数据盘/存储资源费用</w:t>
            </w:r>
            <w:r>
              <w:rPr>
                <w:rFonts w:hint="eastAsia" w:ascii="宋体" w:hAnsi="宋体" w:eastAsia="宋体" w:cs="宋体"/>
                <w:b/>
                <w:bCs/>
                <w:i w:val="0"/>
                <w:iCs w:val="0"/>
                <w:color w:val="auto"/>
                <w:kern w:val="0"/>
                <w:sz w:val="24"/>
                <w:szCs w:val="24"/>
                <w:highlight w:val="none"/>
                <w:u w:val="none"/>
                <w:lang w:val="en-US" w:eastAsia="zh-CN" w:bidi="ar"/>
              </w:rPr>
              <w:br w:type="textWrapping"/>
            </w:r>
            <w:r>
              <w:rPr>
                <w:rFonts w:hint="eastAsia" w:ascii="宋体" w:hAnsi="宋体" w:eastAsia="宋体" w:cs="宋体"/>
                <w:b/>
                <w:bCs/>
                <w:i w:val="0"/>
                <w:iCs w:val="0"/>
                <w:color w:val="auto"/>
                <w:kern w:val="0"/>
                <w:sz w:val="24"/>
                <w:szCs w:val="24"/>
                <w:highlight w:val="none"/>
                <w:u w:val="none"/>
                <w:lang w:val="en-US" w:eastAsia="zh-CN" w:bidi="ar"/>
              </w:rPr>
              <w:t>（元）</w:t>
            </w:r>
          </w:p>
        </w:tc>
        <w:tc>
          <w:tcPr>
            <w:tcW w:w="3370" w:type="dxa"/>
            <w:tcBorders>
              <w:top w:val="single" w:color="000000" w:sz="8" w:space="0"/>
              <w:left w:val="nil"/>
              <w:bottom w:val="single" w:color="000000" w:sz="8" w:space="0"/>
              <w:right w:val="single" w:color="000000" w:sz="8" w:space="0"/>
            </w:tcBorders>
            <w:noWrap w:val="0"/>
            <w:vAlign w:val="center"/>
          </w:tcPr>
          <w:p w14:paraId="2F429954">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所运行软件的名称和版本费用（元）</w:t>
            </w:r>
          </w:p>
        </w:tc>
        <w:tc>
          <w:tcPr>
            <w:tcW w:w="2145" w:type="dxa"/>
            <w:tcBorders>
              <w:top w:val="single" w:color="000000" w:sz="8" w:space="0"/>
              <w:left w:val="nil"/>
              <w:bottom w:val="single" w:color="000000" w:sz="8" w:space="0"/>
              <w:right w:val="single" w:color="000000" w:sz="8" w:space="0"/>
            </w:tcBorders>
            <w:noWrap w:val="0"/>
            <w:vAlign w:val="center"/>
          </w:tcPr>
          <w:p w14:paraId="45ECCE10">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月度费用（元）</w:t>
            </w:r>
          </w:p>
        </w:tc>
        <w:tc>
          <w:tcPr>
            <w:tcW w:w="2173" w:type="dxa"/>
            <w:tcBorders>
              <w:top w:val="single" w:color="000000" w:sz="8" w:space="0"/>
              <w:left w:val="nil"/>
              <w:bottom w:val="single" w:color="000000" w:sz="8" w:space="0"/>
              <w:right w:val="single" w:color="000000" w:sz="8" w:space="0"/>
            </w:tcBorders>
            <w:noWrap w:val="0"/>
            <w:vAlign w:val="center"/>
          </w:tcPr>
          <w:p w14:paraId="0599B043">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年度费用（元）</w:t>
            </w:r>
          </w:p>
        </w:tc>
        <w:tc>
          <w:tcPr>
            <w:tcW w:w="2167" w:type="dxa"/>
            <w:tcBorders>
              <w:top w:val="single" w:color="000000" w:sz="8" w:space="0"/>
              <w:left w:val="nil"/>
              <w:bottom w:val="single" w:color="000000" w:sz="8" w:space="0"/>
              <w:right w:val="single" w:color="000000" w:sz="8" w:space="0"/>
            </w:tcBorders>
            <w:noWrap w:val="0"/>
            <w:vAlign w:val="center"/>
          </w:tcPr>
          <w:p w14:paraId="0779BBD9">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备注</w:t>
            </w:r>
          </w:p>
        </w:tc>
      </w:tr>
      <w:tr w14:paraId="288B74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9" w:hRule="atLeast"/>
        </w:trPr>
        <w:tc>
          <w:tcPr>
            <w:tcW w:w="836" w:type="dxa"/>
            <w:tcBorders>
              <w:top w:val="nil"/>
              <w:left w:val="single" w:color="000000" w:sz="8" w:space="0"/>
              <w:bottom w:val="single" w:color="000000" w:sz="8" w:space="0"/>
              <w:right w:val="single" w:color="000000" w:sz="8" w:space="0"/>
            </w:tcBorders>
            <w:noWrap w:val="0"/>
            <w:vAlign w:val="center"/>
          </w:tcPr>
          <w:p w14:paraId="2C3CB49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w:t>
            </w:r>
          </w:p>
        </w:tc>
        <w:tc>
          <w:tcPr>
            <w:tcW w:w="3318" w:type="dxa"/>
            <w:tcBorders>
              <w:top w:val="nil"/>
              <w:left w:val="nil"/>
              <w:bottom w:val="single" w:color="000000" w:sz="8" w:space="0"/>
              <w:right w:val="single" w:color="000000" w:sz="8" w:space="0"/>
            </w:tcBorders>
            <w:noWrap w:val="0"/>
            <w:vAlign w:val="center"/>
          </w:tcPr>
          <w:p w14:paraId="6EFF771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nginx前置服务器1</w:t>
            </w:r>
          </w:p>
        </w:tc>
        <w:tc>
          <w:tcPr>
            <w:tcW w:w="1758" w:type="dxa"/>
            <w:tcBorders>
              <w:top w:val="nil"/>
              <w:left w:val="nil"/>
              <w:bottom w:val="single" w:color="000000" w:sz="8" w:space="0"/>
              <w:right w:val="single" w:color="000000" w:sz="8" w:space="0"/>
            </w:tcBorders>
            <w:noWrap w:val="0"/>
            <w:vAlign w:val="center"/>
          </w:tcPr>
          <w:p w14:paraId="1F34045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w:t>
            </w:r>
          </w:p>
        </w:tc>
        <w:tc>
          <w:tcPr>
            <w:tcW w:w="1756" w:type="dxa"/>
            <w:tcBorders>
              <w:top w:val="nil"/>
              <w:left w:val="nil"/>
              <w:bottom w:val="single" w:color="000000" w:sz="8" w:space="0"/>
              <w:right w:val="single" w:color="000000" w:sz="8" w:space="0"/>
            </w:tcBorders>
            <w:noWrap w:val="0"/>
            <w:vAlign w:val="center"/>
          </w:tcPr>
          <w:p w14:paraId="737825A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w:t>
            </w:r>
          </w:p>
        </w:tc>
        <w:tc>
          <w:tcPr>
            <w:tcW w:w="1756" w:type="dxa"/>
            <w:tcBorders>
              <w:top w:val="nil"/>
              <w:left w:val="nil"/>
              <w:bottom w:val="single" w:color="000000" w:sz="8" w:space="0"/>
              <w:right w:val="single" w:color="000000" w:sz="8" w:space="0"/>
            </w:tcBorders>
            <w:noWrap w:val="0"/>
            <w:vAlign w:val="center"/>
          </w:tcPr>
          <w:p w14:paraId="41067AA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500</w:t>
            </w:r>
          </w:p>
        </w:tc>
        <w:tc>
          <w:tcPr>
            <w:tcW w:w="2093" w:type="dxa"/>
            <w:tcBorders>
              <w:top w:val="nil"/>
              <w:left w:val="nil"/>
              <w:bottom w:val="single" w:color="000000" w:sz="8" w:space="0"/>
              <w:right w:val="single" w:color="000000" w:sz="8" w:space="0"/>
            </w:tcBorders>
            <w:noWrap w:val="0"/>
            <w:vAlign w:val="center"/>
          </w:tcPr>
          <w:p w14:paraId="1CB27D2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centos 7.7</w:t>
            </w:r>
          </w:p>
        </w:tc>
        <w:tc>
          <w:tcPr>
            <w:tcW w:w="1758" w:type="dxa"/>
            <w:tcBorders>
              <w:top w:val="nil"/>
              <w:left w:val="nil"/>
              <w:bottom w:val="single" w:color="000000" w:sz="8" w:space="0"/>
              <w:right w:val="single" w:color="000000" w:sz="8" w:space="0"/>
            </w:tcBorders>
            <w:noWrap w:val="0"/>
            <w:vAlign w:val="center"/>
          </w:tcPr>
          <w:p w14:paraId="5ABF319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nginx1</w:t>
            </w:r>
          </w:p>
        </w:tc>
        <w:tc>
          <w:tcPr>
            <w:tcW w:w="960" w:type="dxa"/>
            <w:tcBorders>
              <w:top w:val="nil"/>
              <w:left w:val="nil"/>
              <w:bottom w:val="single" w:color="000000" w:sz="8" w:space="0"/>
              <w:right w:val="single" w:color="000000" w:sz="8" w:space="0"/>
            </w:tcBorders>
            <w:noWrap w:val="0"/>
            <w:vAlign w:val="center"/>
          </w:tcPr>
          <w:p w14:paraId="1B085EB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2370" w:type="dxa"/>
            <w:tcBorders>
              <w:top w:val="nil"/>
              <w:left w:val="nil"/>
              <w:bottom w:val="single" w:color="000000" w:sz="8" w:space="0"/>
              <w:right w:val="single" w:color="000000" w:sz="8" w:space="0"/>
            </w:tcBorders>
            <w:noWrap w:val="0"/>
            <w:vAlign w:val="center"/>
          </w:tcPr>
          <w:p w14:paraId="3505E214">
            <w:pPr>
              <w:jc w:val="right"/>
              <w:rPr>
                <w:rFonts w:hint="eastAsia" w:ascii="宋体" w:hAnsi="宋体" w:eastAsia="宋体" w:cs="宋体"/>
                <w:i w:val="0"/>
                <w:iCs w:val="0"/>
                <w:color w:val="auto"/>
                <w:sz w:val="24"/>
                <w:szCs w:val="24"/>
                <w:highlight w:val="none"/>
                <w:u w:val="none"/>
              </w:rPr>
            </w:pPr>
          </w:p>
        </w:tc>
        <w:tc>
          <w:tcPr>
            <w:tcW w:w="3779" w:type="dxa"/>
            <w:tcBorders>
              <w:top w:val="nil"/>
              <w:left w:val="nil"/>
              <w:bottom w:val="single" w:color="000000" w:sz="8" w:space="0"/>
              <w:right w:val="single" w:color="000000" w:sz="8" w:space="0"/>
            </w:tcBorders>
            <w:noWrap w:val="0"/>
            <w:vAlign w:val="center"/>
          </w:tcPr>
          <w:p w14:paraId="68C41FBA">
            <w:pPr>
              <w:jc w:val="right"/>
              <w:rPr>
                <w:rFonts w:hint="eastAsia" w:ascii="宋体" w:hAnsi="宋体" w:eastAsia="宋体" w:cs="宋体"/>
                <w:i w:val="0"/>
                <w:iCs w:val="0"/>
                <w:color w:val="auto"/>
                <w:sz w:val="24"/>
                <w:szCs w:val="24"/>
                <w:highlight w:val="none"/>
                <w:u w:val="none"/>
              </w:rPr>
            </w:pPr>
          </w:p>
        </w:tc>
        <w:tc>
          <w:tcPr>
            <w:tcW w:w="3370" w:type="dxa"/>
            <w:tcBorders>
              <w:top w:val="nil"/>
              <w:left w:val="nil"/>
              <w:bottom w:val="single" w:color="000000" w:sz="8" w:space="0"/>
              <w:right w:val="single" w:color="000000" w:sz="8" w:space="0"/>
            </w:tcBorders>
            <w:noWrap w:val="0"/>
            <w:vAlign w:val="center"/>
          </w:tcPr>
          <w:p w14:paraId="07D0BA21">
            <w:pPr>
              <w:jc w:val="right"/>
              <w:rPr>
                <w:rFonts w:hint="eastAsia" w:ascii="宋体" w:hAnsi="宋体" w:eastAsia="宋体" w:cs="宋体"/>
                <w:i w:val="0"/>
                <w:iCs w:val="0"/>
                <w:color w:val="auto"/>
                <w:sz w:val="24"/>
                <w:szCs w:val="24"/>
                <w:highlight w:val="none"/>
                <w:u w:val="none"/>
              </w:rPr>
            </w:pPr>
          </w:p>
        </w:tc>
        <w:tc>
          <w:tcPr>
            <w:tcW w:w="2145" w:type="dxa"/>
            <w:tcBorders>
              <w:top w:val="nil"/>
              <w:left w:val="nil"/>
              <w:bottom w:val="single" w:color="000000" w:sz="8" w:space="0"/>
              <w:right w:val="single" w:color="000000" w:sz="8" w:space="0"/>
            </w:tcBorders>
            <w:noWrap/>
            <w:vAlign w:val="center"/>
          </w:tcPr>
          <w:p w14:paraId="525B43D3">
            <w:pPr>
              <w:jc w:val="right"/>
              <w:rPr>
                <w:rFonts w:hint="eastAsia" w:ascii="宋体" w:hAnsi="宋体" w:eastAsia="宋体" w:cs="宋体"/>
                <w:i w:val="0"/>
                <w:iCs w:val="0"/>
                <w:color w:val="auto"/>
                <w:sz w:val="24"/>
                <w:szCs w:val="24"/>
                <w:highlight w:val="none"/>
                <w:u w:val="none"/>
              </w:rPr>
            </w:pPr>
          </w:p>
        </w:tc>
        <w:tc>
          <w:tcPr>
            <w:tcW w:w="2173" w:type="dxa"/>
            <w:tcBorders>
              <w:top w:val="nil"/>
              <w:left w:val="nil"/>
              <w:bottom w:val="single" w:color="000000" w:sz="8" w:space="0"/>
              <w:right w:val="single" w:color="000000" w:sz="8" w:space="0"/>
            </w:tcBorders>
            <w:noWrap w:val="0"/>
            <w:vAlign w:val="center"/>
          </w:tcPr>
          <w:p w14:paraId="5640A57E">
            <w:pPr>
              <w:jc w:val="right"/>
              <w:rPr>
                <w:rFonts w:hint="eastAsia" w:ascii="宋体" w:hAnsi="宋体" w:eastAsia="宋体" w:cs="宋体"/>
                <w:i w:val="0"/>
                <w:iCs w:val="0"/>
                <w:color w:val="auto"/>
                <w:sz w:val="24"/>
                <w:szCs w:val="24"/>
                <w:highlight w:val="none"/>
                <w:u w:val="none"/>
              </w:rPr>
            </w:pPr>
          </w:p>
        </w:tc>
        <w:tc>
          <w:tcPr>
            <w:tcW w:w="2167" w:type="dxa"/>
            <w:vMerge w:val="restart"/>
            <w:tcBorders>
              <w:top w:val="nil"/>
              <w:left w:val="nil"/>
              <w:bottom w:val="single" w:color="000000" w:sz="8" w:space="0"/>
              <w:right w:val="single" w:color="000000" w:sz="8" w:space="0"/>
            </w:tcBorders>
            <w:noWrap w:val="0"/>
            <w:vAlign w:val="center"/>
          </w:tcPr>
          <w:p w14:paraId="4F68D12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本平台在市平台统一部署，费用按年来计，共三年。</w:t>
            </w:r>
          </w:p>
        </w:tc>
      </w:tr>
      <w:tr w14:paraId="661537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9" w:hRule="atLeast"/>
        </w:trPr>
        <w:tc>
          <w:tcPr>
            <w:tcW w:w="836" w:type="dxa"/>
            <w:tcBorders>
              <w:top w:val="nil"/>
              <w:left w:val="single" w:color="000000" w:sz="8" w:space="0"/>
              <w:bottom w:val="single" w:color="000000" w:sz="8" w:space="0"/>
              <w:right w:val="single" w:color="000000" w:sz="8" w:space="0"/>
            </w:tcBorders>
            <w:noWrap w:val="0"/>
            <w:vAlign w:val="center"/>
          </w:tcPr>
          <w:p w14:paraId="5207008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2</w:t>
            </w:r>
          </w:p>
        </w:tc>
        <w:tc>
          <w:tcPr>
            <w:tcW w:w="3318" w:type="dxa"/>
            <w:tcBorders>
              <w:top w:val="nil"/>
              <w:left w:val="nil"/>
              <w:bottom w:val="single" w:color="000000" w:sz="8" w:space="0"/>
              <w:right w:val="single" w:color="000000" w:sz="8" w:space="0"/>
            </w:tcBorders>
            <w:noWrap w:val="0"/>
            <w:vAlign w:val="center"/>
          </w:tcPr>
          <w:p w14:paraId="0F3744A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nginx前置服务器2</w:t>
            </w:r>
          </w:p>
        </w:tc>
        <w:tc>
          <w:tcPr>
            <w:tcW w:w="1758" w:type="dxa"/>
            <w:tcBorders>
              <w:top w:val="nil"/>
              <w:left w:val="nil"/>
              <w:bottom w:val="single" w:color="000000" w:sz="8" w:space="0"/>
              <w:right w:val="single" w:color="000000" w:sz="8" w:space="0"/>
            </w:tcBorders>
            <w:noWrap w:val="0"/>
            <w:vAlign w:val="center"/>
          </w:tcPr>
          <w:p w14:paraId="1EF4F0D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w:t>
            </w:r>
          </w:p>
        </w:tc>
        <w:tc>
          <w:tcPr>
            <w:tcW w:w="1756" w:type="dxa"/>
            <w:tcBorders>
              <w:top w:val="nil"/>
              <w:left w:val="nil"/>
              <w:bottom w:val="single" w:color="000000" w:sz="8" w:space="0"/>
              <w:right w:val="single" w:color="000000" w:sz="8" w:space="0"/>
            </w:tcBorders>
            <w:noWrap w:val="0"/>
            <w:vAlign w:val="center"/>
          </w:tcPr>
          <w:p w14:paraId="7E251FA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w:t>
            </w:r>
          </w:p>
        </w:tc>
        <w:tc>
          <w:tcPr>
            <w:tcW w:w="1756" w:type="dxa"/>
            <w:tcBorders>
              <w:top w:val="nil"/>
              <w:left w:val="nil"/>
              <w:bottom w:val="single" w:color="000000" w:sz="8" w:space="0"/>
              <w:right w:val="single" w:color="000000" w:sz="8" w:space="0"/>
            </w:tcBorders>
            <w:noWrap w:val="0"/>
            <w:vAlign w:val="center"/>
          </w:tcPr>
          <w:p w14:paraId="1A03DF1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500</w:t>
            </w:r>
          </w:p>
        </w:tc>
        <w:tc>
          <w:tcPr>
            <w:tcW w:w="2093" w:type="dxa"/>
            <w:tcBorders>
              <w:top w:val="nil"/>
              <w:left w:val="nil"/>
              <w:bottom w:val="single" w:color="000000" w:sz="8" w:space="0"/>
              <w:right w:val="single" w:color="000000" w:sz="8" w:space="0"/>
            </w:tcBorders>
            <w:noWrap w:val="0"/>
            <w:vAlign w:val="center"/>
          </w:tcPr>
          <w:p w14:paraId="213714D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centos 7.7</w:t>
            </w:r>
          </w:p>
        </w:tc>
        <w:tc>
          <w:tcPr>
            <w:tcW w:w="1758" w:type="dxa"/>
            <w:tcBorders>
              <w:top w:val="nil"/>
              <w:left w:val="nil"/>
              <w:bottom w:val="single" w:color="000000" w:sz="8" w:space="0"/>
              <w:right w:val="single" w:color="000000" w:sz="8" w:space="0"/>
            </w:tcBorders>
            <w:noWrap w:val="0"/>
            <w:vAlign w:val="center"/>
          </w:tcPr>
          <w:p w14:paraId="4092A8A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nginx2</w:t>
            </w:r>
          </w:p>
        </w:tc>
        <w:tc>
          <w:tcPr>
            <w:tcW w:w="960" w:type="dxa"/>
            <w:tcBorders>
              <w:top w:val="nil"/>
              <w:left w:val="nil"/>
              <w:bottom w:val="single" w:color="000000" w:sz="8" w:space="0"/>
              <w:right w:val="single" w:color="000000" w:sz="8" w:space="0"/>
            </w:tcBorders>
            <w:noWrap w:val="0"/>
            <w:vAlign w:val="center"/>
          </w:tcPr>
          <w:p w14:paraId="302F74A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2370" w:type="dxa"/>
            <w:tcBorders>
              <w:top w:val="nil"/>
              <w:left w:val="nil"/>
              <w:bottom w:val="single" w:color="000000" w:sz="8" w:space="0"/>
              <w:right w:val="single" w:color="000000" w:sz="8" w:space="0"/>
            </w:tcBorders>
            <w:noWrap w:val="0"/>
            <w:vAlign w:val="center"/>
          </w:tcPr>
          <w:p w14:paraId="01E5ADFD">
            <w:pPr>
              <w:jc w:val="right"/>
              <w:rPr>
                <w:rFonts w:hint="eastAsia" w:ascii="宋体" w:hAnsi="宋体" w:eastAsia="宋体" w:cs="宋体"/>
                <w:i w:val="0"/>
                <w:iCs w:val="0"/>
                <w:color w:val="auto"/>
                <w:sz w:val="24"/>
                <w:szCs w:val="24"/>
                <w:highlight w:val="none"/>
                <w:u w:val="none"/>
              </w:rPr>
            </w:pPr>
          </w:p>
        </w:tc>
        <w:tc>
          <w:tcPr>
            <w:tcW w:w="3779" w:type="dxa"/>
            <w:tcBorders>
              <w:top w:val="nil"/>
              <w:left w:val="nil"/>
              <w:bottom w:val="single" w:color="000000" w:sz="8" w:space="0"/>
              <w:right w:val="single" w:color="000000" w:sz="8" w:space="0"/>
            </w:tcBorders>
            <w:noWrap w:val="0"/>
            <w:vAlign w:val="center"/>
          </w:tcPr>
          <w:p w14:paraId="04840B20">
            <w:pPr>
              <w:jc w:val="right"/>
              <w:rPr>
                <w:rFonts w:hint="eastAsia" w:ascii="宋体" w:hAnsi="宋体" w:eastAsia="宋体" w:cs="宋体"/>
                <w:i w:val="0"/>
                <w:iCs w:val="0"/>
                <w:color w:val="auto"/>
                <w:sz w:val="24"/>
                <w:szCs w:val="24"/>
                <w:highlight w:val="none"/>
                <w:u w:val="none"/>
              </w:rPr>
            </w:pPr>
          </w:p>
        </w:tc>
        <w:tc>
          <w:tcPr>
            <w:tcW w:w="3370" w:type="dxa"/>
            <w:tcBorders>
              <w:top w:val="nil"/>
              <w:left w:val="nil"/>
              <w:bottom w:val="single" w:color="000000" w:sz="8" w:space="0"/>
              <w:right w:val="single" w:color="000000" w:sz="8" w:space="0"/>
            </w:tcBorders>
            <w:noWrap w:val="0"/>
            <w:vAlign w:val="center"/>
          </w:tcPr>
          <w:p w14:paraId="1AD22D3A">
            <w:pPr>
              <w:jc w:val="right"/>
              <w:rPr>
                <w:rFonts w:hint="eastAsia" w:ascii="宋体" w:hAnsi="宋体" w:eastAsia="宋体" w:cs="宋体"/>
                <w:i w:val="0"/>
                <w:iCs w:val="0"/>
                <w:color w:val="auto"/>
                <w:sz w:val="24"/>
                <w:szCs w:val="24"/>
                <w:highlight w:val="none"/>
                <w:u w:val="none"/>
              </w:rPr>
            </w:pPr>
          </w:p>
        </w:tc>
        <w:tc>
          <w:tcPr>
            <w:tcW w:w="2145" w:type="dxa"/>
            <w:tcBorders>
              <w:top w:val="nil"/>
              <w:left w:val="nil"/>
              <w:bottom w:val="single" w:color="000000" w:sz="8" w:space="0"/>
              <w:right w:val="single" w:color="000000" w:sz="8" w:space="0"/>
            </w:tcBorders>
            <w:noWrap/>
            <w:vAlign w:val="center"/>
          </w:tcPr>
          <w:p w14:paraId="7BBE2C2F">
            <w:pPr>
              <w:jc w:val="right"/>
              <w:rPr>
                <w:rFonts w:hint="eastAsia" w:ascii="宋体" w:hAnsi="宋体" w:eastAsia="宋体" w:cs="宋体"/>
                <w:i w:val="0"/>
                <w:iCs w:val="0"/>
                <w:color w:val="auto"/>
                <w:sz w:val="24"/>
                <w:szCs w:val="24"/>
                <w:highlight w:val="none"/>
                <w:u w:val="none"/>
              </w:rPr>
            </w:pPr>
          </w:p>
        </w:tc>
        <w:tc>
          <w:tcPr>
            <w:tcW w:w="2173" w:type="dxa"/>
            <w:tcBorders>
              <w:top w:val="nil"/>
              <w:left w:val="nil"/>
              <w:bottom w:val="single" w:color="000000" w:sz="8" w:space="0"/>
              <w:right w:val="single" w:color="000000" w:sz="8" w:space="0"/>
            </w:tcBorders>
            <w:noWrap w:val="0"/>
            <w:vAlign w:val="center"/>
          </w:tcPr>
          <w:p w14:paraId="3EAD9F57">
            <w:pPr>
              <w:jc w:val="right"/>
              <w:rPr>
                <w:rFonts w:hint="eastAsia" w:ascii="宋体" w:hAnsi="宋体" w:eastAsia="宋体" w:cs="宋体"/>
                <w:i w:val="0"/>
                <w:iCs w:val="0"/>
                <w:color w:val="auto"/>
                <w:sz w:val="24"/>
                <w:szCs w:val="24"/>
                <w:highlight w:val="none"/>
                <w:u w:val="none"/>
              </w:rPr>
            </w:pPr>
          </w:p>
        </w:tc>
        <w:tc>
          <w:tcPr>
            <w:tcW w:w="2167" w:type="dxa"/>
            <w:vMerge w:val="continue"/>
            <w:tcBorders>
              <w:top w:val="nil"/>
              <w:left w:val="nil"/>
              <w:bottom w:val="single" w:color="000000" w:sz="8" w:space="0"/>
              <w:right w:val="single" w:color="000000" w:sz="8" w:space="0"/>
            </w:tcBorders>
            <w:noWrap w:val="0"/>
            <w:vAlign w:val="center"/>
          </w:tcPr>
          <w:p w14:paraId="708BB57F">
            <w:pPr>
              <w:jc w:val="center"/>
              <w:rPr>
                <w:rFonts w:hint="eastAsia" w:ascii="宋体" w:hAnsi="宋体" w:eastAsia="宋体" w:cs="宋体"/>
                <w:i w:val="0"/>
                <w:iCs w:val="0"/>
                <w:color w:val="auto"/>
                <w:sz w:val="24"/>
                <w:szCs w:val="24"/>
                <w:highlight w:val="none"/>
                <w:u w:val="none"/>
              </w:rPr>
            </w:pPr>
          </w:p>
        </w:tc>
      </w:tr>
      <w:tr w14:paraId="0D0294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9" w:hRule="atLeast"/>
        </w:trPr>
        <w:tc>
          <w:tcPr>
            <w:tcW w:w="836" w:type="dxa"/>
            <w:tcBorders>
              <w:top w:val="nil"/>
              <w:left w:val="single" w:color="000000" w:sz="8" w:space="0"/>
              <w:bottom w:val="single" w:color="000000" w:sz="8" w:space="0"/>
              <w:right w:val="single" w:color="000000" w:sz="8" w:space="0"/>
            </w:tcBorders>
            <w:noWrap w:val="0"/>
            <w:vAlign w:val="center"/>
          </w:tcPr>
          <w:p w14:paraId="7497359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w:t>
            </w:r>
          </w:p>
        </w:tc>
        <w:tc>
          <w:tcPr>
            <w:tcW w:w="3318" w:type="dxa"/>
            <w:tcBorders>
              <w:top w:val="nil"/>
              <w:left w:val="nil"/>
              <w:bottom w:val="single" w:color="000000" w:sz="8" w:space="0"/>
              <w:right w:val="single" w:color="000000" w:sz="8" w:space="0"/>
            </w:tcBorders>
            <w:noWrap w:val="0"/>
            <w:vAlign w:val="center"/>
          </w:tcPr>
          <w:p w14:paraId="412C090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nginx前置服务器3</w:t>
            </w:r>
          </w:p>
        </w:tc>
        <w:tc>
          <w:tcPr>
            <w:tcW w:w="1758" w:type="dxa"/>
            <w:tcBorders>
              <w:top w:val="nil"/>
              <w:left w:val="nil"/>
              <w:bottom w:val="single" w:color="000000" w:sz="8" w:space="0"/>
              <w:right w:val="single" w:color="000000" w:sz="8" w:space="0"/>
            </w:tcBorders>
            <w:noWrap w:val="0"/>
            <w:vAlign w:val="center"/>
          </w:tcPr>
          <w:p w14:paraId="304A9FF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w:t>
            </w:r>
          </w:p>
        </w:tc>
        <w:tc>
          <w:tcPr>
            <w:tcW w:w="1756" w:type="dxa"/>
            <w:tcBorders>
              <w:top w:val="nil"/>
              <w:left w:val="nil"/>
              <w:bottom w:val="single" w:color="000000" w:sz="8" w:space="0"/>
              <w:right w:val="single" w:color="000000" w:sz="8" w:space="0"/>
            </w:tcBorders>
            <w:noWrap w:val="0"/>
            <w:vAlign w:val="center"/>
          </w:tcPr>
          <w:p w14:paraId="24B8669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32</w:t>
            </w:r>
          </w:p>
        </w:tc>
        <w:tc>
          <w:tcPr>
            <w:tcW w:w="1756" w:type="dxa"/>
            <w:tcBorders>
              <w:top w:val="nil"/>
              <w:left w:val="nil"/>
              <w:bottom w:val="single" w:color="000000" w:sz="8" w:space="0"/>
              <w:right w:val="single" w:color="000000" w:sz="8" w:space="0"/>
            </w:tcBorders>
            <w:noWrap w:val="0"/>
            <w:vAlign w:val="center"/>
          </w:tcPr>
          <w:p w14:paraId="6D66069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500</w:t>
            </w:r>
          </w:p>
        </w:tc>
        <w:tc>
          <w:tcPr>
            <w:tcW w:w="2093" w:type="dxa"/>
            <w:tcBorders>
              <w:top w:val="nil"/>
              <w:left w:val="nil"/>
              <w:bottom w:val="single" w:color="000000" w:sz="8" w:space="0"/>
              <w:right w:val="single" w:color="000000" w:sz="8" w:space="0"/>
            </w:tcBorders>
            <w:noWrap w:val="0"/>
            <w:vAlign w:val="center"/>
          </w:tcPr>
          <w:p w14:paraId="3424D2AA">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centos 7.7</w:t>
            </w:r>
          </w:p>
        </w:tc>
        <w:tc>
          <w:tcPr>
            <w:tcW w:w="1758" w:type="dxa"/>
            <w:tcBorders>
              <w:top w:val="nil"/>
              <w:left w:val="nil"/>
              <w:bottom w:val="single" w:color="000000" w:sz="8" w:space="0"/>
              <w:right w:val="single" w:color="000000" w:sz="8" w:space="0"/>
            </w:tcBorders>
            <w:noWrap w:val="0"/>
            <w:vAlign w:val="center"/>
          </w:tcPr>
          <w:p w14:paraId="554A13C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nginx3</w:t>
            </w:r>
          </w:p>
        </w:tc>
        <w:tc>
          <w:tcPr>
            <w:tcW w:w="960" w:type="dxa"/>
            <w:tcBorders>
              <w:top w:val="nil"/>
              <w:left w:val="nil"/>
              <w:bottom w:val="single" w:color="000000" w:sz="8" w:space="0"/>
              <w:right w:val="single" w:color="000000" w:sz="8" w:space="0"/>
            </w:tcBorders>
            <w:noWrap w:val="0"/>
            <w:vAlign w:val="center"/>
          </w:tcPr>
          <w:p w14:paraId="216D4AB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2370" w:type="dxa"/>
            <w:tcBorders>
              <w:top w:val="nil"/>
              <w:left w:val="nil"/>
              <w:bottom w:val="single" w:color="000000" w:sz="8" w:space="0"/>
              <w:right w:val="single" w:color="000000" w:sz="8" w:space="0"/>
            </w:tcBorders>
            <w:noWrap w:val="0"/>
            <w:vAlign w:val="center"/>
          </w:tcPr>
          <w:p w14:paraId="59FF5DE9">
            <w:pPr>
              <w:jc w:val="right"/>
              <w:rPr>
                <w:rFonts w:hint="eastAsia" w:ascii="宋体" w:hAnsi="宋体" w:eastAsia="宋体" w:cs="宋体"/>
                <w:i w:val="0"/>
                <w:iCs w:val="0"/>
                <w:color w:val="auto"/>
                <w:sz w:val="24"/>
                <w:szCs w:val="24"/>
                <w:highlight w:val="none"/>
                <w:u w:val="none"/>
              </w:rPr>
            </w:pPr>
          </w:p>
        </w:tc>
        <w:tc>
          <w:tcPr>
            <w:tcW w:w="3779" w:type="dxa"/>
            <w:tcBorders>
              <w:top w:val="nil"/>
              <w:left w:val="nil"/>
              <w:bottom w:val="single" w:color="000000" w:sz="8" w:space="0"/>
              <w:right w:val="single" w:color="000000" w:sz="8" w:space="0"/>
            </w:tcBorders>
            <w:noWrap w:val="0"/>
            <w:vAlign w:val="center"/>
          </w:tcPr>
          <w:p w14:paraId="2F8B6D25">
            <w:pPr>
              <w:jc w:val="right"/>
              <w:rPr>
                <w:rFonts w:hint="eastAsia" w:ascii="宋体" w:hAnsi="宋体" w:eastAsia="宋体" w:cs="宋体"/>
                <w:i w:val="0"/>
                <w:iCs w:val="0"/>
                <w:color w:val="auto"/>
                <w:sz w:val="24"/>
                <w:szCs w:val="24"/>
                <w:highlight w:val="none"/>
                <w:u w:val="none"/>
              </w:rPr>
            </w:pPr>
          </w:p>
        </w:tc>
        <w:tc>
          <w:tcPr>
            <w:tcW w:w="3370" w:type="dxa"/>
            <w:tcBorders>
              <w:top w:val="nil"/>
              <w:left w:val="nil"/>
              <w:bottom w:val="single" w:color="000000" w:sz="8" w:space="0"/>
              <w:right w:val="single" w:color="000000" w:sz="8" w:space="0"/>
            </w:tcBorders>
            <w:noWrap w:val="0"/>
            <w:vAlign w:val="center"/>
          </w:tcPr>
          <w:p w14:paraId="59B8683A">
            <w:pPr>
              <w:jc w:val="right"/>
              <w:rPr>
                <w:rFonts w:hint="eastAsia" w:ascii="宋体" w:hAnsi="宋体" w:eastAsia="宋体" w:cs="宋体"/>
                <w:i w:val="0"/>
                <w:iCs w:val="0"/>
                <w:color w:val="auto"/>
                <w:sz w:val="24"/>
                <w:szCs w:val="24"/>
                <w:highlight w:val="none"/>
                <w:u w:val="none"/>
              </w:rPr>
            </w:pPr>
          </w:p>
        </w:tc>
        <w:tc>
          <w:tcPr>
            <w:tcW w:w="2145" w:type="dxa"/>
            <w:tcBorders>
              <w:top w:val="nil"/>
              <w:left w:val="nil"/>
              <w:bottom w:val="single" w:color="000000" w:sz="8" w:space="0"/>
              <w:right w:val="single" w:color="000000" w:sz="8" w:space="0"/>
            </w:tcBorders>
            <w:noWrap/>
            <w:vAlign w:val="center"/>
          </w:tcPr>
          <w:p w14:paraId="6B55EDD6">
            <w:pPr>
              <w:jc w:val="right"/>
              <w:rPr>
                <w:rFonts w:hint="eastAsia" w:ascii="宋体" w:hAnsi="宋体" w:eastAsia="宋体" w:cs="宋体"/>
                <w:i w:val="0"/>
                <w:iCs w:val="0"/>
                <w:color w:val="auto"/>
                <w:sz w:val="24"/>
                <w:szCs w:val="24"/>
                <w:highlight w:val="none"/>
                <w:u w:val="none"/>
              </w:rPr>
            </w:pPr>
          </w:p>
        </w:tc>
        <w:tc>
          <w:tcPr>
            <w:tcW w:w="2173" w:type="dxa"/>
            <w:tcBorders>
              <w:top w:val="nil"/>
              <w:left w:val="nil"/>
              <w:bottom w:val="single" w:color="000000" w:sz="8" w:space="0"/>
              <w:right w:val="single" w:color="000000" w:sz="8" w:space="0"/>
            </w:tcBorders>
            <w:noWrap w:val="0"/>
            <w:vAlign w:val="center"/>
          </w:tcPr>
          <w:p w14:paraId="1146129B">
            <w:pPr>
              <w:jc w:val="right"/>
              <w:rPr>
                <w:rFonts w:hint="eastAsia" w:ascii="宋体" w:hAnsi="宋体" w:eastAsia="宋体" w:cs="宋体"/>
                <w:i w:val="0"/>
                <w:iCs w:val="0"/>
                <w:color w:val="auto"/>
                <w:sz w:val="24"/>
                <w:szCs w:val="24"/>
                <w:highlight w:val="none"/>
                <w:u w:val="none"/>
              </w:rPr>
            </w:pPr>
          </w:p>
        </w:tc>
        <w:tc>
          <w:tcPr>
            <w:tcW w:w="2167" w:type="dxa"/>
            <w:vMerge w:val="continue"/>
            <w:tcBorders>
              <w:top w:val="nil"/>
              <w:left w:val="nil"/>
              <w:bottom w:val="single" w:color="000000" w:sz="8" w:space="0"/>
              <w:right w:val="single" w:color="000000" w:sz="8" w:space="0"/>
            </w:tcBorders>
            <w:noWrap w:val="0"/>
            <w:vAlign w:val="center"/>
          </w:tcPr>
          <w:p w14:paraId="0398CD86">
            <w:pPr>
              <w:jc w:val="center"/>
              <w:rPr>
                <w:rFonts w:hint="eastAsia" w:ascii="宋体" w:hAnsi="宋体" w:eastAsia="宋体" w:cs="宋体"/>
                <w:i w:val="0"/>
                <w:iCs w:val="0"/>
                <w:color w:val="auto"/>
                <w:sz w:val="24"/>
                <w:szCs w:val="24"/>
                <w:highlight w:val="none"/>
                <w:u w:val="none"/>
              </w:rPr>
            </w:pPr>
          </w:p>
        </w:tc>
      </w:tr>
      <w:tr w14:paraId="6F02F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9" w:hRule="atLeast"/>
        </w:trPr>
        <w:tc>
          <w:tcPr>
            <w:tcW w:w="836" w:type="dxa"/>
            <w:tcBorders>
              <w:top w:val="nil"/>
              <w:left w:val="single" w:color="000000" w:sz="8" w:space="0"/>
              <w:bottom w:val="single" w:color="000000" w:sz="8" w:space="0"/>
              <w:right w:val="single" w:color="000000" w:sz="8" w:space="0"/>
            </w:tcBorders>
            <w:noWrap w:val="0"/>
            <w:vAlign w:val="center"/>
          </w:tcPr>
          <w:p w14:paraId="77B2FEF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4</w:t>
            </w:r>
          </w:p>
        </w:tc>
        <w:tc>
          <w:tcPr>
            <w:tcW w:w="3318" w:type="dxa"/>
            <w:tcBorders>
              <w:top w:val="nil"/>
              <w:left w:val="nil"/>
              <w:bottom w:val="single" w:color="000000" w:sz="8" w:space="0"/>
              <w:right w:val="single" w:color="000000" w:sz="8" w:space="0"/>
            </w:tcBorders>
            <w:noWrap w:val="0"/>
            <w:vAlign w:val="center"/>
          </w:tcPr>
          <w:p w14:paraId="7B00E50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nginx前置服务器4</w:t>
            </w:r>
          </w:p>
        </w:tc>
        <w:tc>
          <w:tcPr>
            <w:tcW w:w="1758" w:type="dxa"/>
            <w:tcBorders>
              <w:top w:val="nil"/>
              <w:left w:val="nil"/>
              <w:bottom w:val="single" w:color="000000" w:sz="8" w:space="0"/>
              <w:right w:val="single" w:color="000000" w:sz="8" w:space="0"/>
            </w:tcBorders>
            <w:noWrap w:val="0"/>
            <w:vAlign w:val="center"/>
          </w:tcPr>
          <w:p w14:paraId="396D6D4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w:t>
            </w:r>
          </w:p>
        </w:tc>
        <w:tc>
          <w:tcPr>
            <w:tcW w:w="1756" w:type="dxa"/>
            <w:tcBorders>
              <w:top w:val="nil"/>
              <w:left w:val="nil"/>
              <w:bottom w:val="single" w:color="000000" w:sz="8" w:space="0"/>
              <w:right w:val="single" w:color="000000" w:sz="8" w:space="0"/>
            </w:tcBorders>
            <w:noWrap w:val="0"/>
            <w:vAlign w:val="center"/>
          </w:tcPr>
          <w:p w14:paraId="347E0A9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32</w:t>
            </w:r>
          </w:p>
        </w:tc>
        <w:tc>
          <w:tcPr>
            <w:tcW w:w="1756" w:type="dxa"/>
            <w:tcBorders>
              <w:top w:val="nil"/>
              <w:left w:val="nil"/>
              <w:bottom w:val="single" w:color="000000" w:sz="8" w:space="0"/>
              <w:right w:val="single" w:color="000000" w:sz="8" w:space="0"/>
            </w:tcBorders>
            <w:noWrap w:val="0"/>
            <w:vAlign w:val="center"/>
          </w:tcPr>
          <w:p w14:paraId="518C0E4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500</w:t>
            </w:r>
          </w:p>
        </w:tc>
        <w:tc>
          <w:tcPr>
            <w:tcW w:w="2093" w:type="dxa"/>
            <w:tcBorders>
              <w:top w:val="nil"/>
              <w:left w:val="nil"/>
              <w:bottom w:val="single" w:color="000000" w:sz="8" w:space="0"/>
              <w:right w:val="single" w:color="000000" w:sz="8" w:space="0"/>
            </w:tcBorders>
            <w:noWrap w:val="0"/>
            <w:vAlign w:val="center"/>
          </w:tcPr>
          <w:p w14:paraId="052E8385">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centos 7.7</w:t>
            </w:r>
          </w:p>
        </w:tc>
        <w:tc>
          <w:tcPr>
            <w:tcW w:w="1758" w:type="dxa"/>
            <w:tcBorders>
              <w:top w:val="nil"/>
              <w:left w:val="nil"/>
              <w:bottom w:val="single" w:color="000000" w:sz="8" w:space="0"/>
              <w:right w:val="single" w:color="000000" w:sz="8" w:space="0"/>
            </w:tcBorders>
            <w:noWrap w:val="0"/>
            <w:vAlign w:val="center"/>
          </w:tcPr>
          <w:p w14:paraId="7961E07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nginx4</w:t>
            </w:r>
          </w:p>
        </w:tc>
        <w:tc>
          <w:tcPr>
            <w:tcW w:w="960" w:type="dxa"/>
            <w:tcBorders>
              <w:top w:val="nil"/>
              <w:left w:val="nil"/>
              <w:bottom w:val="single" w:color="000000" w:sz="8" w:space="0"/>
              <w:right w:val="single" w:color="000000" w:sz="8" w:space="0"/>
            </w:tcBorders>
            <w:noWrap w:val="0"/>
            <w:vAlign w:val="center"/>
          </w:tcPr>
          <w:p w14:paraId="0476AFC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2370" w:type="dxa"/>
            <w:tcBorders>
              <w:top w:val="nil"/>
              <w:left w:val="nil"/>
              <w:bottom w:val="single" w:color="000000" w:sz="8" w:space="0"/>
              <w:right w:val="single" w:color="000000" w:sz="8" w:space="0"/>
            </w:tcBorders>
            <w:noWrap w:val="0"/>
            <w:vAlign w:val="center"/>
          </w:tcPr>
          <w:p w14:paraId="0C595445">
            <w:pPr>
              <w:jc w:val="right"/>
              <w:rPr>
                <w:rFonts w:hint="eastAsia" w:ascii="宋体" w:hAnsi="宋体" w:eastAsia="宋体" w:cs="宋体"/>
                <w:i w:val="0"/>
                <w:iCs w:val="0"/>
                <w:color w:val="auto"/>
                <w:sz w:val="24"/>
                <w:szCs w:val="24"/>
                <w:highlight w:val="none"/>
                <w:u w:val="none"/>
              </w:rPr>
            </w:pPr>
          </w:p>
        </w:tc>
        <w:tc>
          <w:tcPr>
            <w:tcW w:w="3779" w:type="dxa"/>
            <w:tcBorders>
              <w:top w:val="nil"/>
              <w:left w:val="nil"/>
              <w:bottom w:val="single" w:color="000000" w:sz="8" w:space="0"/>
              <w:right w:val="single" w:color="000000" w:sz="8" w:space="0"/>
            </w:tcBorders>
            <w:noWrap w:val="0"/>
            <w:vAlign w:val="center"/>
          </w:tcPr>
          <w:p w14:paraId="69E024A4">
            <w:pPr>
              <w:jc w:val="right"/>
              <w:rPr>
                <w:rFonts w:hint="eastAsia" w:ascii="宋体" w:hAnsi="宋体" w:eastAsia="宋体" w:cs="宋体"/>
                <w:i w:val="0"/>
                <w:iCs w:val="0"/>
                <w:color w:val="auto"/>
                <w:sz w:val="24"/>
                <w:szCs w:val="24"/>
                <w:highlight w:val="none"/>
                <w:u w:val="none"/>
              </w:rPr>
            </w:pPr>
          </w:p>
        </w:tc>
        <w:tc>
          <w:tcPr>
            <w:tcW w:w="3370" w:type="dxa"/>
            <w:tcBorders>
              <w:top w:val="nil"/>
              <w:left w:val="nil"/>
              <w:bottom w:val="single" w:color="000000" w:sz="8" w:space="0"/>
              <w:right w:val="single" w:color="000000" w:sz="8" w:space="0"/>
            </w:tcBorders>
            <w:noWrap w:val="0"/>
            <w:vAlign w:val="center"/>
          </w:tcPr>
          <w:p w14:paraId="1018A2E6">
            <w:pPr>
              <w:jc w:val="right"/>
              <w:rPr>
                <w:rFonts w:hint="eastAsia" w:ascii="宋体" w:hAnsi="宋体" w:eastAsia="宋体" w:cs="宋体"/>
                <w:i w:val="0"/>
                <w:iCs w:val="0"/>
                <w:color w:val="auto"/>
                <w:sz w:val="24"/>
                <w:szCs w:val="24"/>
                <w:highlight w:val="none"/>
                <w:u w:val="none"/>
              </w:rPr>
            </w:pPr>
          </w:p>
        </w:tc>
        <w:tc>
          <w:tcPr>
            <w:tcW w:w="2145" w:type="dxa"/>
            <w:tcBorders>
              <w:top w:val="nil"/>
              <w:left w:val="nil"/>
              <w:bottom w:val="single" w:color="000000" w:sz="8" w:space="0"/>
              <w:right w:val="single" w:color="000000" w:sz="8" w:space="0"/>
            </w:tcBorders>
            <w:noWrap/>
            <w:vAlign w:val="center"/>
          </w:tcPr>
          <w:p w14:paraId="131A602C">
            <w:pPr>
              <w:jc w:val="right"/>
              <w:rPr>
                <w:rFonts w:hint="eastAsia" w:ascii="宋体" w:hAnsi="宋体" w:eastAsia="宋体" w:cs="宋体"/>
                <w:i w:val="0"/>
                <w:iCs w:val="0"/>
                <w:color w:val="auto"/>
                <w:sz w:val="24"/>
                <w:szCs w:val="24"/>
                <w:highlight w:val="none"/>
                <w:u w:val="none"/>
              </w:rPr>
            </w:pPr>
          </w:p>
        </w:tc>
        <w:tc>
          <w:tcPr>
            <w:tcW w:w="2173" w:type="dxa"/>
            <w:tcBorders>
              <w:top w:val="nil"/>
              <w:left w:val="nil"/>
              <w:bottom w:val="single" w:color="000000" w:sz="8" w:space="0"/>
              <w:right w:val="single" w:color="000000" w:sz="8" w:space="0"/>
            </w:tcBorders>
            <w:noWrap w:val="0"/>
            <w:vAlign w:val="center"/>
          </w:tcPr>
          <w:p w14:paraId="01CCD741">
            <w:pPr>
              <w:jc w:val="right"/>
              <w:rPr>
                <w:rFonts w:hint="eastAsia" w:ascii="宋体" w:hAnsi="宋体" w:eastAsia="宋体" w:cs="宋体"/>
                <w:i w:val="0"/>
                <w:iCs w:val="0"/>
                <w:color w:val="auto"/>
                <w:sz w:val="24"/>
                <w:szCs w:val="24"/>
                <w:highlight w:val="none"/>
                <w:u w:val="none"/>
              </w:rPr>
            </w:pPr>
          </w:p>
        </w:tc>
        <w:tc>
          <w:tcPr>
            <w:tcW w:w="2167" w:type="dxa"/>
            <w:vMerge w:val="continue"/>
            <w:tcBorders>
              <w:top w:val="nil"/>
              <w:left w:val="nil"/>
              <w:bottom w:val="single" w:color="000000" w:sz="8" w:space="0"/>
              <w:right w:val="single" w:color="000000" w:sz="8" w:space="0"/>
            </w:tcBorders>
            <w:noWrap w:val="0"/>
            <w:vAlign w:val="center"/>
          </w:tcPr>
          <w:p w14:paraId="1686991D">
            <w:pPr>
              <w:jc w:val="center"/>
              <w:rPr>
                <w:rFonts w:hint="eastAsia" w:ascii="宋体" w:hAnsi="宋体" w:eastAsia="宋体" w:cs="宋体"/>
                <w:i w:val="0"/>
                <w:iCs w:val="0"/>
                <w:color w:val="auto"/>
                <w:sz w:val="24"/>
                <w:szCs w:val="24"/>
                <w:highlight w:val="none"/>
                <w:u w:val="none"/>
              </w:rPr>
            </w:pPr>
          </w:p>
        </w:tc>
      </w:tr>
      <w:tr w14:paraId="7CD36C1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9" w:hRule="atLeast"/>
        </w:trPr>
        <w:tc>
          <w:tcPr>
            <w:tcW w:w="836" w:type="dxa"/>
            <w:tcBorders>
              <w:top w:val="nil"/>
              <w:left w:val="single" w:color="000000" w:sz="8" w:space="0"/>
              <w:bottom w:val="single" w:color="000000" w:sz="8" w:space="0"/>
              <w:right w:val="single" w:color="000000" w:sz="8" w:space="0"/>
            </w:tcBorders>
            <w:noWrap w:val="0"/>
            <w:vAlign w:val="center"/>
          </w:tcPr>
          <w:p w14:paraId="448B8CD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w:t>
            </w:r>
          </w:p>
        </w:tc>
        <w:tc>
          <w:tcPr>
            <w:tcW w:w="3318" w:type="dxa"/>
            <w:tcBorders>
              <w:top w:val="nil"/>
              <w:left w:val="nil"/>
              <w:bottom w:val="single" w:color="000000" w:sz="8" w:space="0"/>
              <w:right w:val="single" w:color="000000" w:sz="8" w:space="0"/>
            </w:tcBorders>
            <w:noWrap w:val="0"/>
            <w:vAlign w:val="center"/>
          </w:tcPr>
          <w:p w14:paraId="75D9573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nginx前置服务器5</w:t>
            </w:r>
          </w:p>
        </w:tc>
        <w:tc>
          <w:tcPr>
            <w:tcW w:w="1758" w:type="dxa"/>
            <w:tcBorders>
              <w:top w:val="nil"/>
              <w:left w:val="nil"/>
              <w:bottom w:val="single" w:color="000000" w:sz="8" w:space="0"/>
              <w:right w:val="single" w:color="000000" w:sz="8" w:space="0"/>
            </w:tcBorders>
            <w:noWrap w:val="0"/>
            <w:vAlign w:val="center"/>
          </w:tcPr>
          <w:p w14:paraId="00212D8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w:t>
            </w:r>
          </w:p>
        </w:tc>
        <w:tc>
          <w:tcPr>
            <w:tcW w:w="1756" w:type="dxa"/>
            <w:tcBorders>
              <w:top w:val="nil"/>
              <w:left w:val="nil"/>
              <w:bottom w:val="single" w:color="000000" w:sz="8" w:space="0"/>
              <w:right w:val="single" w:color="000000" w:sz="8" w:space="0"/>
            </w:tcBorders>
            <w:noWrap w:val="0"/>
            <w:vAlign w:val="center"/>
          </w:tcPr>
          <w:p w14:paraId="44F3891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32</w:t>
            </w:r>
          </w:p>
        </w:tc>
        <w:tc>
          <w:tcPr>
            <w:tcW w:w="1756" w:type="dxa"/>
            <w:tcBorders>
              <w:top w:val="nil"/>
              <w:left w:val="nil"/>
              <w:bottom w:val="single" w:color="000000" w:sz="8" w:space="0"/>
              <w:right w:val="single" w:color="000000" w:sz="8" w:space="0"/>
            </w:tcBorders>
            <w:noWrap w:val="0"/>
            <w:vAlign w:val="center"/>
          </w:tcPr>
          <w:p w14:paraId="3E4B609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500</w:t>
            </w:r>
          </w:p>
        </w:tc>
        <w:tc>
          <w:tcPr>
            <w:tcW w:w="2093" w:type="dxa"/>
            <w:tcBorders>
              <w:top w:val="nil"/>
              <w:left w:val="nil"/>
              <w:bottom w:val="single" w:color="000000" w:sz="8" w:space="0"/>
              <w:right w:val="single" w:color="000000" w:sz="8" w:space="0"/>
            </w:tcBorders>
            <w:noWrap w:val="0"/>
            <w:vAlign w:val="center"/>
          </w:tcPr>
          <w:p w14:paraId="2EE61940">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centos 7.7</w:t>
            </w:r>
          </w:p>
        </w:tc>
        <w:tc>
          <w:tcPr>
            <w:tcW w:w="1758" w:type="dxa"/>
            <w:tcBorders>
              <w:top w:val="nil"/>
              <w:left w:val="nil"/>
              <w:bottom w:val="single" w:color="000000" w:sz="8" w:space="0"/>
              <w:right w:val="single" w:color="000000" w:sz="8" w:space="0"/>
            </w:tcBorders>
            <w:noWrap w:val="0"/>
            <w:vAlign w:val="center"/>
          </w:tcPr>
          <w:p w14:paraId="2B39B5D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nginx5</w:t>
            </w:r>
          </w:p>
        </w:tc>
        <w:tc>
          <w:tcPr>
            <w:tcW w:w="960" w:type="dxa"/>
            <w:tcBorders>
              <w:top w:val="nil"/>
              <w:left w:val="nil"/>
              <w:bottom w:val="single" w:color="000000" w:sz="8" w:space="0"/>
              <w:right w:val="single" w:color="000000" w:sz="8" w:space="0"/>
            </w:tcBorders>
            <w:noWrap w:val="0"/>
            <w:vAlign w:val="center"/>
          </w:tcPr>
          <w:p w14:paraId="50B60C5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2370" w:type="dxa"/>
            <w:tcBorders>
              <w:top w:val="nil"/>
              <w:left w:val="nil"/>
              <w:bottom w:val="single" w:color="000000" w:sz="8" w:space="0"/>
              <w:right w:val="single" w:color="000000" w:sz="8" w:space="0"/>
            </w:tcBorders>
            <w:noWrap w:val="0"/>
            <w:vAlign w:val="center"/>
          </w:tcPr>
          <w:p w14:paraId="3785AC82">
            <w:pPr>
              <w:jc w:val="right"/>
              <w:rPr>
                <w:rFonts w:hint="eastAsia" w:ascii="宋体" w:hAnsi="宋体" w:eastAsia="宋体" w:cs="宋体"/>
                <w:i w:val="0"/>
                <w:iCs w:val="0"/>
                <w:color w:val="auto"/>
                <w:sz w:val="24"/>
                <w:szCs w:val="24"/>
                <w:highlight w:val="none"/>
                <w:u w:val="none"/>
              </w:rPr>
            </w:pPr>
          </w:p>
        </w:tc>
        <w:tc>
          <w:tcPr>
            <w:tcW w:w="3779" w:type="dxa"/>
            <w:tcBorders>
              <w:top w:val="nil"/>
              <w:left w:val="nil"/>
              <w:bottom w:val="single" w:color="000000" w:sz="8" w:space="0"/>
              <w:right w:val="single" w:color="000000" w:sz="8" w:space="0"/>
            </w:tcBorders>
            <w:noWrap w:val="0"/>
            <w:vAlign w:val="center"/>
          </w:tcPr>
          <w:p w14:paraId="1C0D13D2">
            <w:pPr>
              <w:jc w:val="right"/>
              <w:rPr>
                <w:rFonts w:hint="eastAsia" w:ascii="宋体" w:hAnsi="宋体" w:eastAsia="宋体" w:cs="宋体"/>
                <w:i w:val="0"/>
                <w:iCs w:val="0"/>
                <w:color w:val="auto"/>
                <w:sz w:val="24"/>
                <w:szCs w:val="24"/>
                <w:highlight w:val="none"/>
                <w:u w:val="none"/>
              </w:rPr>
            </w:pPr>
          </w:p>
        </w:tc>
        <w:tc>
          <w:tcPr>
            <w:tcW w:w="3370" w:type="dxa"/>
            <w:tcBorders>
              <w:top w:val="nil"/>
              <w:left w:val="nil"/>
              <w:bottom w:val="single" w:color="000000" w:sz="8" w:space="0"/>
              <w:right w:val="single" w:color="000000" w:sz="8" w:space="0"/>
            </w:tcBorders>
            <w:noWrap w:val="0"/>
            <w:vAlign w:val="center"/>
          </w:tcPr>
          <w:p w14:paraId="0DEC7225">
            <w:pPr>
              <w:jc w:val="right"/>
              <w:rPr>
                <w:rFonts w:hint="eastAsia" w:ascii="宋体" w:hAnsi="宋体" w:eastAsia="宋体" w:cs="宋体"/>
                <w:i w:val="0"/>
                <w:iCs w:val="0"/>
                <w:color w:val="auto"/>
                <w:sz w:val="24"/>
                <w:szCs w:val="24"/>
                <w:highlight w:val="none"/>
                <w:u w:val="none"/>
              </w:rPr>
            </w:pPr>
          </w:p>
        </w:tc>
        <w:tc>
          <w:tcPr>
            <w:tcW w:w="2145" w:type="dxa"/>
            <w:tcBorders>
              <w:top w:val="nil"/>
              <w:left w:val="nil"/>
              <w:bottom w:val="single" w:color="000000" w:sz="8" w:space="0"/>
              <w:right w:val="single" w:color="000000" w:sz="8" w:space="0"/>
            </w:tcBorders>
            <w:noWrap/>
            <w:vAlign w:val="center"/>
          </w:tcPr>
          <w:p w14:paraId="72D1DFE0">
            <w:pPr>
              <w:jc w:val="right"/>
              <w:rPr>
                <w:rFonts w:hint="eastAsia" w:ascii="宋体" w:hAnsi="宋体" w:eastAsia="宋体" w:cs="宋体"/>
                <w:i w:val="0"/>
                <w:iCs w:val="0"/>
                <w:color w:val="auto"/>
                <w:sz w:val="24"/>
                <w:szCs w:val="24"/>
                <w:highlight w:val="none"/>
                <w:u w:val="none"/>
              </w:rPr>
            </w:pPr>
          </w:p>
        </w:tc>
        <w:tc>
          <w:tcPr>
            <w:tcW w:w="2173" w:type="dxa"/>
            <w:tcBorders>
              <w:top w:val="nil"/>
              <w:left w:val="nil"/>
              <w:bottom w:val="single" w:color="000000" w:sz="8" w:space="0"/>
              <w:right w:val="single" w:color="000000" w:sz="8" w:space="0"/>
            </w:tcBorders>
            <w:noWrap w:val="0"/>
            <w:vAlign w:val="center"/>
          </w:tcPr>
          <w:p w14:paraId="74F59190">
            <w:pPr>
              <w:jc w:val="right"/>
              <w:rPr>
                <w:rFonts w:hint="eastAsia" w:ascii="宋体" w:hAnsi="宋体" w:eastAsia="宋体" w:cs="宋体"/>
                <w:i w:val="0"/>
                <w:iCs w:val="0"/>
                <w:color w:val="auto"/>
                <w:sz w:val="24"/>
                <w:szCs w:val="24"/>
                <w:highlight w:val="none"/>
                <w:u w:val="none"/>
              </w:rPr>
            </w:pPr>
          </w:p>
        </w:tc>
        <w:tc>
          <w:tcPr>
            <w:tcW w:w="2167" w:type="dxa"/>
            <w:vMerge w:val="continue"/>
            <w:tcBorders>
              <w:top w:val="nil"/>
              <w:left w:val="nil"/>
              <w:bottom w:val="single" w:color="000000" w:sz="8" w:space="0"/>
              <w:right w:val="single" w:color="000000" w:sz="8" w:space="0"/>
            </w:tcBorders>
            <w:noWrap w:val="0"/>
            <w:vAlign w:val="center"/>
          </w:tcPr>
          <w:p w14:paraId="6C88B160">
            <w:pPr>
              <w:jc w:val="center"/>
              <w:rPr>
                <w:rFonts w:hint="eastAsia" w:ascii="宋体" w:hAnsi="宋体" w:eastAsia="宋体" w:cs="宋体"/>
                <w:i w:val="0"/>
                <w:iCs w:val="0"/>
                <w:color w:val="auto"/>
                <w:sz w:val="24"/>
                <w:szCs w:val="24"/>
                <w:highlight w:val="none"/>
                <w:u w:val="none"/>
              </w:rPr>
            </w:pPr>
          </w:p>
        </w:tc>
      </w:tr>
      <w:tr w14:paraId="7F8ED4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9" w:hRule="atLeast"/>
        </w:trPr>
        <w:tc>
          <w:tcPr>
            <w:tcW w:w="836" w:type="dxa"/>
            <w:tcBorders>
              <w:top w:val="nil"/>
              <w:left w:val="single" w:color="000000" w:sz="8" w:space="0"/>
              <w:bottom w:val="single" w:color="000000" w:sz="8" w:space="0"/>
              <w:right w:val="single" w:color="000000" w:sz="8" w:space="0"/>
            </w:tcBorders>
            <w:noWrap w:val="0"/>
            <w:vAlign w:val="center"/>
          </w:tcPr>
          <w:p w14:paraId="352A8C0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w:t>
            </w:r>
          </w:p>
        </w:tc>
        <w:tc>
          <w:tcPr>
            <w:tcW w:w="3318" w:type="dxa"/>
            <w:tcBorders>
              <w:top w:val="nil"/>
              <w:left w:val="nil"/>
              <w:bottom w:val="single" w:color="000000" w:sz="8" w:space="0"/>
              <w:right w:val="single" w:color="000000" w:sz="8" w:space="0"/>
            </w:tcBorders>
            <w:noWrap w:val="0"/>
            <w:vAlign w:val="center"/>
          </w:tcPr>
          <w:p w14:paraId="1E2B2AF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nginx前置服务器6</w:t>
            </w:r>
          </w:p>
        </w:tc>
        <w:tc>
          <w:tcPr>
            <w:tcW w:w="1758" w:type="dxa"/>
            <w:tcBorders>
              <w:top w:val="nil"/>
              <w:left w:val="nil"/>
              <w:bottom w:val="single" w:color="000000" w:sz="8" w:space="0"/>
              <w:right w:val="single" w:color="000000" w:sz="8" w:space="0"/>
            </w:tcBorders>
            <w:noWrap w:val="0"/>
            <w:vAlign w:val="center"/>
          </w:tcPr>
          <w:p w14:paraId="41470F3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w:t>
            </w:r>
          </w:p>
        </w:tc>
        <w:tc>
          <w:tcPr>
            <w:tcW w:w="1756" w:type="dxa"/>
            <w:tcBorders>
              <w:top w:val="nil"/>
              <w:left w:val="nil"/>
              <w:bottom w:val="single" w:color="000000" w:sz="8" w:space="0"/>
              <w:right w:val="single" w:color="000000" w:sz="8" w:space="0"/>
            </w:tcBorders>
            <w:noWrap w:val="0"/>
            <w:vAlign w:val="center"/>
          </w:tcPr>
          <w:p w14:paraId="4A00F6B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32</w:t>
            </w:r>
          </w:p>
        </w:tc>
        <w:tc>
          <w:tcPr>
            <w:tcW w:w="1756" w:type="dxa"/>
            <w:tcBorders>
              <w:top w:val="nil"/>
              <w:left w:val="nil"/>
              <w:bottom w:val="single" w:color="000000" w:sz="8" w:space="0"/>
              <w:right w:val="single" w:color="000000" w:sz="8" w:space="0"/>
            </w:tcBorders>
            <w:noWrap w:val="0"/>
            <w:vAlign w:val="center"/>
          </w:tcPr>
          <w:p w14:paraId="58D58EF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500</w:t>
            </w:r>
          </w:p>
        </w:tc>
        <w:tc>
          <w:tcPr>
            <w:tcW w:w="2093" w:type="dxa"/>
            <w:tcBorders>
              <w:top w:val="nil"/>
              <w:left w:val="nil"/>
              <w:bottom w:val="single" w:color="000000" w:sz="8" w:space="0"/>
              <w:right w:val="single" w:color="000000" w:sz="8" w:space="0"/>
            </w:tcBorders>
            <w:noWrap w:val="0"/>
            <w:vAlign w:val="center"/>
          </w:tcPr>
          <w:p w14:paraId="278332AF">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centos 7.7</w:t>
            </w:r>
          </w:p>
        </w:tc>
        <w:tc>
          <w:tcPr>
            <w:tcW w:w="1758" w:type="dxa"/>
            <w:tcBorders>
              <w:top w:val="nil"/>
              <w:left w:val="nil"/>
              <w:bottom w:val="single" w:color="000000" w:sz="8" w:space="0"/>
              <w:right w:val="single" w:color="000000" w:sz="8" w:space="0"/>
            </w:tcBorders>
            <w:noWrap w:val="0"/>
            <w:vAlign w:val="center"/>
          </w:tcPr>
          <w:p w14:paraId="1FACF6E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nginx6</w:t>
            </w:r>
          </w:p>
        </w:tc>
        <w:tc>
          <w:tcPr>
            <w:tcW w:w="960" w:type="dxa"/>
            <w:tcBorders>
              <w:top w:val="nil"/>
              <w:left w:val="nil"/>
              <w:bottom w:val="single" w:color="000000" w:sz="8" w:space="0"/>
              <w:right w:val="single" w:color="000000" w:sz="8" w:space="0"/>
            </w:tcBorders>
            <w:noWrap w:val="0"/>
            <w:vAlign w:val="center"/>
          </w:tcPr>
          <w:p w14:paraId="6016721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2370" w:type="dxa"/>
            <w:tcBorders>
              <w:top w:val="nil"/>
              <w:left w:val="nil"/>
              <w:bottom w:val="single" w:color="000000" w:sz="8" w:space="0"/>
              <w:right w:val="single" w:color="000000" w:sz="8" w:space="0"/>
            </w:tcBorders>
            <w:noWrap w:val="0"/>
            <w:vAlign w:val="center"/>
          </w:tcPr>
          <w:p w14:paraId="2E67BDBB">
            <w:pPr>
              <w:jc w:val="right"/>
              <w:rPr>
                <w:rFonts w:hint="eastAsia" w:ascii="宋体" w:hAnsi="宋体" w:eastAsia="宋体" w:cs="宋体"/>
                <w:i w:val="0"/>
                <w:iCs w:val="0"/>
                <w:color w:val="auto"/>
                <w:sz w:val="24"/>
                <w:szCs w:val="24"/>
                <w:highlight w:val="none"/>
                <w:u w:val="none"/>
              </w:rPr>
            </w:pPr>
          </w:p>
        </w:tc>
        <w:tc>
          <w:tcPr>
            <w:tcW w:w="3779" w:type="dxa"/>
            <w:tcBorders>
              <w:top w:val="nil"/>
              <w:left w:val="nil"/>
              <w:bottom w:val="single" w:color="000000" w:sz="8" w:space="0"/>
              <w:right w:val="single" w:color="000000" w:sz="8" w:space="0"/>
            </w:tcBorders>
            <w:noWrap w:val="0"/>
            <w:vAlign w:val="center"/>
          </w:tcPr>
          <w:p w14:paraId="7DE362B5">
            <w:pPr>
              <w:jc w:val="right"/>
              <w:rPr>
                <w:rFonts w:hint="eastAsia" w:ascii="宋体" w:hAnsi="宋体" w:eastAsia="宋体" w:cs="宋体"/>
                <w:i w:val="0"/>
                <w:iCs w:val="0"/>
                <w:color w:val="auto"/>
                <w:sz w:val="24"/>
                <w:szCs w:val="24"/>
                <w:highlight w:val="none"/>
                <w:u w:val="none"/>
              </w:rPr>
            </w:pPr>
          </w:p>
        </w:tc>
        <w:tc>
          <w:tcPr>
            <w:tcW w:w="3370" w:type="dxa"/>
            <w:tcBorders>
              <w:top w:val="nil"/>
              <w:left w:val="nil"/>
              <w:bottom w:val="single" w:color="000000" w:sz="8" w:space="0"/>
              <w:right w:val="single" w:color="000000" w:sz="8" w:space="0"/>
            </w:tcBorders>
            <w:noWrap w:val="0"/>
            <w:vAlign w:val="center"/>
          </w:tcPr>
          <w:p w14:paraId="4D99FD7A">
            <w:pPr>
              <w:jc w:val="right"/>
              <w:rPr>
                <w:rFonts w:hint="eastAsia" w:ascii="宋体" w:hAnsi="宋体" w:eastAsia="宋体" w:cs="宋体"/>
                <w:i w:val="0"/>
                <w:iCs w:val="0"/>
                <w:color w:val="auto"/>
                <w:sz w:val="24"/>
                <w:szCs w:val="24"/>
                <w:highlight w:val="none"/>
                <w:u w:val="none"/>
              </w:rPr>
            </w:pPr>
          </w:p>
        </w:tc>
        <w:tc>
          <w:tcPr>
            <w:tcW w:w="2145" w:type="dxa"/>
            <w:tcBorders>
              <w:top w:val="nil"/>
              <w:left w:val="nil"/>
              <w:bottom w:val="single" w:color="000000" w:sz="8" w:space="0"/>
              <w:right w:val="single" w:color="000000" w:sz="8" w:space="0"/>
            </w:tcBorders>
            <w:noWrap/>
            <w:vAlign w:val="center"/>
          </w:tcPr>
          <w:p w14:paraId="46C8C034">
            <w:pPr>
              <w:jc w:val="right"/>
              <w:rPr>
                <w:rFonts w:hint="eastAsia" w:ascii="宋体" w:hAnsi="宋体" w:eastAsia="宋体" w:cs="宋体"/>
                <w:i w:val="0"/>
                <w:iCs w:val="0"/>
                <w:color w:val="auto"/>
                <w:sz w:val="24"/>
                <w:szCs w:val="24"/>
                <w:highlight w:val="none"/>
                <w:u w:val="none"/>
              </w:rPr>
            </w:pPr>
          </w:p>
        </w:tc>
        <w:tc>
          <w:tcPr>
            <w:tcW w:w="2173" w:type="dxa"/>
            <w:tcBorders>
              <w:top w:val="nil"/>
              <w:left w:val="nil"/>
              <w:bottom w:val="single" w:color="000000" w:sz="8" w:space="0"/>
              <w:right w:val="single" w:color="000000" w:sz="8" w:space="0"/>
            </w:tcBorders>
            <w:noWrap w:val="0"/>
            <w:vAlign w:val="center"/>
          </w:tcPr>
          <w:p w14:paraId="77C8C309">
            <w:pPr>
              <w:jc w:val="right"/>
              <w:rPr>
                <w:rFonts w:hint="eastAsia" w:ascii="宋体" w:hAnsi="宋体" w:eastAsia="宋体" w:cs="宋体"/>
                <w:i w:val="0"/>
                <w:iCs w:val="0"/>
                <w:color w:val="auto"/>
                <w:sz w:val="24"/>
                <w:szCs w:val="24"/>
                <w:highlight w:val="none"/>
                <w:u w:val="none"/>
              </w:rPr>
            </w:pPr>
          </w:p>
        </w:tc>
        <w:tc>
          <w:tcPr>
            <w:tcW w:w="2167" w:type="dxa"/>
            <w:vMerge w:val="continue"/>
            <w:tcBorders>
              <w:top w:val="nil"/>
              <w:left w:val="nil"/>
              <w:bottom w:val="single" w:color="000000" w:sz="8" w:space="0"/>
              <w:right w:val="single" w:color="000000" w:sz="8" w:space="0"/>
            </w:tcBorders>
            <w:noWrap w:val="0"/>
            <w:vAlign w:val="center"/>
          </w:tcPr>
          <w:p w14:paraId="2B48F559">
            <w:pPr>
              <w:jc w:val="center"/>
              <w:rPr>
                <w:rFonts w:hint="eastAsia" w:ascii="宋体" w:hAnsi="宋体" w:eastAsia="宋体" w:cs="宋体"/>
                <w:i w:val="0"/>
                <w:iCs w:val="0"/>
                <w:color w:val="auto"/>
                <w:sz w:val="24"/>
                <w:szCs w:val="24"/>
                <w:highlight w:val="none"/>
                <w:u w:val="none"/>
              </w:rPr>
            </w:pPr>
          </w:p>
        </w:tc>
      </w:tr>
      <w:tr w14:paraId="0A0EEA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9" w:hRule="atLeast"/>
        </w:trPr>
        <w:tc>
          <w:tcPr>
            <w:tcW w:w="836" w:type="dxa"/>
            <w:tcBorders>
              <w:top w:val="nil"/>
              <w:left w:val="single" w:color="000000" w:sz="8" w:space="0"/>
              <w:bottom w:val="single" w:color="000000" w:sz="8" w:space="0"/>
              <w:right w:val="single" w:color="000000" w:sz="8" w:space="0"/>
            </w:tcBorders>
            <w:noWrap w:val="0"/>
            <w:vAlign w:val="center"/>
          </w:tcPr>
          <w:p w14:paraId="3F35497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7</w:t>
            </w:r>
          </w:p>
        </w:tc>
        <w:tc>
          <w:tcPr>
            <w:tcW w:w="3318" w:type="dxa"/>
            <w:tcBorders>
              <w:top w:val="nil"/>
              <w:left w:val="nil"/>
              <w:bottom w:val="single" w:color="000000" w:sz="8" w:space="0"/>
              <w:right w:val="single" w:color="000000" w:sz="8" w:space="0"/>
            </w:tcBorders>
            <w:noWrap w:val="0"/>
            <w:vAlign w:val="center"/>
          </w:tcPr>
          <w:p w14:paraId="31BA38B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nginx前置服务器7</w:t>
            </w:r>
          </w:p>
        </w:tc>
        <w:tc>
          <w:tcPr>
            <w:tcW w:w="1758" w:type="dxa"/>
            <w:tcBorders>
              <w:top w:val="nil"/>
              <w:left w:val="nil"/>
              <w:bottom w:val="single" w:color="000000" w:sz="8" w:space="0"/>
              <w:right w:val="single" w:color="000000" w:sz="8" w:space="0"/>
            </w:tcBorders>
            <w:noWrap w:val="0"/>
            <w:vAlign w:val="center"/>
          </w:tcPr>
          <w:p w14:paraId="7E6DC1C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w:t>
            </w:r>
          </w:p>
        </w:tc>
        <w:tc>
          <w:tcPr>
            <w:tcW w:w="1756" w:type="dxa"/>
            <w:tcBorders>
              <w:top w:val="nil"/>
              <w:left w:val="nil"/>
              <w:bottom w:val="single" w:color="000000" w:sz="8" w:space="0"/>
              <w:right w:val="single" w:color="000000" w:sz="8" w:space="0"/>
            </w:tcBorders>
            <w:noWrap w:val="0"/>
            <w:vAlign w:val="center"/>
          </w:tcPr>
          <w:p w14:paraId="205F5EB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32</w:t>
            </w:r>
          </w:p>
        </w:tc>
        <w:tc>
          <w:tcPr>
            <w:tcW w:w="1756" w:type="dxa"/>
            <w:tcBorders>
              <w:top w:val="nil"/>
              <w:left w:val="nil"/>
              <w:bottom w:val="single" w:color="000000" w:sz="8" w:space="0"/>
              <w:right w:val="single" w:color="000000" w:sz="8" w:space="0"/>
            </w:tcBorders>
            <w:noWrap w:val="0"/>
            <w:vAlign w:val="center"/>
          </w:tcPr>
          <w:p w14:paraId="56E54EB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500</w:t>
            </w:r>
          </w:p>
        </w:tc>
        <w:tc>
          <w:tcPr>
            <w:tcW w:w="2093" w:type="dxa"/>
            <w:tcBorders>
              <w:top w:val="nil"/>
              <w:left w:val="nil"/>
              <w:bottom w:val="single" w:color="000000" w:sz="8" w:space="0"/>
              <w:right w:val="single" w:color="000000" w:sz="8" w:space="0"/>
            </w:tcBorders>
            <w:noWrap w:val="0"/>
            <w:vAlign w:val="center"/>
          </w:tcPr>
          <w:p w14:paraId="0264342E">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centos 7.7</w:t>
            </w:r>
          </w:p>
        </w:tc>
        <w:tc>
          <w:tcPr>
            <w:tcW w:w="1758" w:type="dxa"/>
            <w:tcBorders>
              <w:top w:val="nil"/>
              <w:left w:val="nil"/>
              <w:bottom w:val="single" w:color="000000" w:sz="8" w:space="0"/>
              <w:right w:val="single" w:color="000000" w:sz="8" w:space="0"/>
            </w:tcBorders>
            <w:noWrap w:val="0"/>
            <w:vAlign w:val="center"/>
          </w:tcPr>
          <w:p w14:paraId="6F10FD2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nginx7</w:t>
            </w:r>
          </w:p>
        </w:tc>
        <w:tc>
          <w:tcPr>
            <w:tcW w:w="960" w:type="dxa"/>
            <w:tcBorders>
              <w:top w:val="nil"/>
              <w:left w:val="nil"/>
              <w:bottom w:val="single" w:color="000000" w:sz="8" w:space="0"/>
              <w:right w:val="single" w:color="000000" w:sz="8" w:space="0"/>
            </w:tcBorders>
            <w:noWrap w:val="0"/>
            <w:vAlign w:val="center"/>
          </w:tcPr>
          <w:p w14:paraId="314CBE4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2370" w:type="dxa"/>
            <w:tcBorders>
              <w:top w:val="nil"/>
              <w:left w:val="nil"/>
              <w:bottom w:val="single" w:color="000000" w:sz="8" w:space="0"/>
              <w:right w:val="single" w:color="000000" w:sz="8" w:space="0"/>
            </w:tcBorders>
            <w:noWrap w:val="0"/>
            <w:vAlign w:val="center"/>
          </w:tcPr>
          <w:p w14:paraId="4B7E5C40">
            <w:pPr>
              <w:jc w:val="right"/>
              <w:rPr>
                <w:rFonts w:hint="eastAsia" w:ascii="宋体" w:hAnsi="宋体" w:eastAsia="宋体" w:cs="宋体"/>
                <w:i w:val="0"/>
                <w:iCs w:val="0"/>
                <w:color w:val="auto"/>
                <w:sz w:val="24"/>
                <w:szCs w:val="24"/>
                <w:highlight w:val="none"/>
                <w:u w:val="none"/>
              </w:rPr>
            </w:pPr>
          </w:p>
        </w:tc>
        <w:tc>
          <w:tcPr>
            <w:tcW w:w="3779" w:type="dxa"/>
            <w:tcBorders>
              <w:top w:val="nil"/>
              <w:left w:val="nil"/>
              <w:bottom w:val="single" w:color="000000" w:sz="8" w:space="0"/>
              <w:right w:val="single" w:color="000000" w:sz="8" w:space="0"/>
            </w:tcBorders>
            <w:noWrap w:val="0"/>
            <w:vAlign w:val="center"/>
          </w:tcPr>
          <w:p w14:paraId="1F4B376F">
            <w:pPr>
              <w:jc w:val="right"/>
              <w:rPr>
                <w:rFonts w:hint="eastAsia" w:ascii="宋体" w:hAnsi="宋体" w:eastAsia="宋体" w:cs="宋体"/>
                <w:i w:val="0"/>
                <w:iCs w:val="0"/>
                <w:color w:val="auto"/>
                <w:sz w:val="24"/>
                <w:szCs w:val="24"/>
                <w:highlight w:val="none"/>
                <w:u w:val="none"/>
              </w:rPr>
            </w:pPr>
          </w:p>
        </w:tc>
        <w:tc>
          <w:tcPr>
            <w:tcW w:w="3370" w:type="dxa"/>
            <w:tcBorders>
              <w:top w:val="nil"/>
              <w:left w:val="nil"/>
              <w:bottom w:val="single" w:color="000000" w:sz="8" w:space="0"/>
              <w:right w:val="single" w:color="000000" w:sz="8" w:space="0"/>
            </w:tcBorders>
            <w:noWrap w:val="0"/>
            <w:vAlign w:val="center"/>
          </w:tcPr>
          <w:p w14:paraId="35BC0B03">
            <w:pPr>
              <w:jc w:val="right"/>
              <w:rPr>
                <w:rFonts w:hint="eastAsia" w:ascii="宋体" w:hAnsi="宋体" w:eastAsia="宋体" w:cs="宋体"/>
                <w:i w:val="0"/>
                <w:iCs w:val="0"/>
                <w:color w:val="auto"/>
                <w:sz w:val="24"/>
                <w:szCs w:val="24"/>
                <w:highlight w:val="none"/>
                <w:u w:val="none"/>
              </w:rPr>
            </w:pPr>
          </w:p>
        </w:tc>
        <w:tc>
          <w:tcPr>
            <w:tcW w:w="2145" w:type="dxa"/>
            <w:tcBorders>
              <w:top w:val="nil"/>
              <w:left w:val="nil"/>
              <w:bottom w:val="single" w:color="000000" w:sz="8" w:space="0"/>
              <w:right w:val="single" w:color="000000" w:sz="8" w:space="0"/>
            </w:tcBorders>
            <w:noWrap/>
            <w:vAlign w:val="center"/>
          </w:tcPr>
          <w:p w14:paraId="55C0EDF5">
            <w:pPr>
              <w:jc w:val="right"/>
              <w:rPr>
                <w:rFonts w:hint="eastAsia" w:ascii="宋体" w:hAnsi="宋体" w:eastAsia="宋体" w:cs="宋体"/>
                <w:i w:val="0"/>
                <w:iCs w:val="0"/>
                <w:color w:val="auto"/>
                <w:sz w:val="24"/>
                <w:szCs w:val="24"/>
                <w:highlight w:val="none"/>
                <w:u w:val="none"/>
              </w:rPr>
            </w:pPr>
          </w:p>
        </w:tc>
        <w:tc>
          <w:tcPr>
            <w:tcW w:w="2173" w:type="dxa"/>
            <w:tcBorders>
              <w:top w:val="nil"/>
              <w:left w:val="nil"/>
              <w:bottom w:val="single" w:color="000000" w:sz="8" w:space="0"/>
              <w:right w:val="single" w:color="000000" w:sz="8" w:space="0"/>
            </w:tcBorders>
            <w:noWrap w:val="0"/>
            <w:vAlign w:val="center"/>
          </w:tcPr>
          <w:p w14:paraId="0F2A6F67">
            <w:pPr>
              <w:jc w:val="right"/>
              <w:rPr>
                <w:rFonts w:hint="eastAsia" w:ascii="宋体" w:hAnsi="宋体" w:eastAsia="宋体" w:cs="宋体"/>
                <w:i w:val="0"/>
                <w:iCs w:val="0"/>
                <w:color w:val="auto"/>
                <w:sz w:val="24"/>
                <w:szCs w:val="24"/>
                <w:highlight w:val="none"/>
                <w:u w:val="none"/>
              </w:rPr>
            </w:pPr>
          </w:p>
        </w:tc>
        <w:tc>
          <w:tcPr>
            <w:tcW w:w="2167" w:type="dxa"/>
            <w:vMerge w:val="continue"/>
            <w:tcBorders>
              <w:top w:val="nil"/>
              <w:left w:val="nil"/>
              <w:bottom w:val="single" w:color="000000" w:sz="8" w:space="0"/>
              <w:right w:val="single" w:color="000000" w:sz="8" w:space="0"/>
            </w:tcBorders>
            <w:noWrap w:val="0"/>
            <w:vAlign w:val="center"/>
          </w:tcPr>
          <w:p w14:paraId="55AFAE6E">
            <w:pPr>
              <w:jc w:val="center"/>
              <w:rPr>
                <w:rFonts w:hint="eastAsia" w:ascii="宋体" w:hAnsi="宋体" w:eastAsia="宋体" w:cs="宋体"/>
                <w:i w:val="0"/>
                <w:iCs w:val="0"/>
                <w:color w:val="auto"/>
                <w:sz w:val="24"/>
                <w:szCs w:val="24"/>
                <w:highlight w:val="none"/>
                <w:u w:val="none"/>
              </w:rPr>
            </w:pPr>
          </w:p>
        </w:tc>
      </w:tr>
      <w:tr w14:paraId="1BB21A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9" w:hRule="atLeast"/>
        </w:trPr>
        <w:tc>
          <w:tcPr>
            <w:tcW w:w="836" w:type="dxa"/>
            <w:tcBorders>
              <w:top w:val="nil"/>
              <w:left w:val="single" w:color="000000" w:sz="8" w:space="0"/>
              <w:bottom w:val="single" w:color="000000" w:sz="8" w:space="0"/>
              <w:right w:val="single" w:color="000000" w:sz="8" w:space="0"/>
            </w:tcBorders>
            <w:noWrap w:val="0"/>
            <w:vAlign w:val="center"/>
          </w:tcPr>
          <w:p w14:paraId="6EFAD31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8</w:t>
            </w:r>
          </w:p>
        </w:tc>
        <w:tc>
          <w:tcPr>
            <w:tcW w:w="3318" w:type="dxa"/>
            <w:tcBorders>
              <w:top w:val="nil"/>
              <w:left w:val="nil"/>
              <w:bottom w:val="single" w:color="000000" w:sz="8" w:space="0"/>
              <w:right w:val="single" w:color="000000" w:sz="8" w:space="0"/>
            </w:tcBorders>
            <w:noWrap w:val="0"/>
            <w:vAlign w:val="center"/>
          </w:tcPr>
          <w:p w14:paraId="174A390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nginx前置服务器8</w:t>
            </w:r>
          </w:p>
        </w:tc>
        <w:tc>
          <w:tcPr>
            <w:tcW w:w="1758" w:type="dxa"/>
            <w:tcBorders>
              <w:top w:val="nil"/>
              <w:left w:val="nil"/>
              <w:bottom w:val="single" w:color="000000" w:sz="8" w:space="0"/>
              <w:right w:val="single" w:color="000000" w:sz="8" w:space="0"/>
            </w:tcBorders>
            <w:noWrap w:val="0"/>
            <w:vAlign w:val="center"/>
          </w:tcPr>
          <w:p w14:paraId="7A84864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w:t>
            </w:r>
          </w:p>
        </w:tc>
        <w:tc>
          <w:tcPr>
            <w:tcW w:w="1756" w:type="dxa"/>
            <w:tcBorders>
              <w:top w:val="nil"/>
              <w:left w:val="nil"/>
              <w:bottom w:val="single" w:color="000000" w:sz="8" w:space="0"/>
              <w:right w:val="single" w:color="000000" w:sz="8" w:space="0"/>
            </w:tcBorders>
            <w:noWrap w:val="0"/>
            <w:vAlign w:val="center"/>
          </w:tcPr>
          <w:p w14:paraId="2406503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32</w:t>
            </w:r>
          </w:p>
        </w:tc>
        <w:tc>
          <w:tcPr>
            <w:tcW w:w="1756" w:type="dxa"/>
            <w:tcBorders>
              <w:top w:val="nil"/>
              <w:left w:val="nil"/>
              <w:bottom w:val="single" w:color="000000" w:sz="8" w:space="0"/>
              <w:right w:val="single" w:color="000000" w:sz="8" w:space="0"/>
            </w:tcBorders>
            <w:noWrap w:val="0"/>
            <w:vAlign w:val="center"/>
          </w:tcPr>
          <w:p w14:paraId="4BBE489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500</w:t>
            </w:r>
          </w:p>
        </w:tc>
        <w:tc>
          <w:tcPr>
            <w:tcW w:w="2093" w:type="dxa"/>
            <w:tcBorders>
              <w:top w:val="nil"/>
              <w:left w:val="nil"/>
              <w:bottom w:val="single" w:color="000000" w:sz="8" w:space="0"/>
              <w:right w:val="single" w:color="000000" w:sz="8" w:space="0"/>
            </w:tcBorders>
            <w:noWrap w:val="0"/>
            <w:vAlign w:val="center"/>
          </w:tcPr>
          <w:p w14:paraId="04FA4386">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centos 7.7</w:t>
            </w:r>
          </w:p>
        </w:tc>
        <w:tc>
          <w:tcPr>
            <w:tcW w:w="1758" w:type="dxa"/>
            <w:tcBorders>
              <w:top w:val="nil"/>
              <w:left w:val="nil"/>
              <w:bottom w:val="single" w:color="000000" w:sz="8" w:space="0"/>
              <w:right w:val="single" w:color="000000" w:sz="8" w:space="0"/>
            </w:tcBorders>
            <w:noWrap w:val="0"/>
            <w:vAlign w:val="center"/>
          </w:tcPr>
          <w:p w14:paraId="465EF95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nginx8</w:t>
            </w:r>
          </w:p>
        </w:tc>
        <w:tc>
          <w:tcPr>
            <w:tcW w:w="960" w:type="dxa"/>
            <w:tcBorders>
              <w:top w:val="nil"/>
              <w:left w:val="nil"/>
              <w:bottom w:val="single" w:color="000000" w:sz="8" w:space="0"/>
              <w:right w:val="single" w:color="000000" w:sz="8" w:space="0"/>
            </w:tcBorders>
            <w:noWrap w:val="0"/>
            <w:vAlign w:val="center"/>
          </w:tcPr>
          <w:p w14:paraId="0BC8251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2370" w:type="dxa"/>
            <w:tcBorders>
              <w:top w:val="nil"/>
              <w:left w:val="nil"/>
              <w:bottom w:val="single" w:color="000000" w:sz="8" w:space="0"/>
              <w:right w:val="single" w:color="000000" w:sz="8" w:space="0"/>
            </w:tcBorders>
            <w:noWrap w:val="0"/>
            <w:vAlign w:val="center"/>
          </w:tcPr>
          <w:p w14:paraId="1E5D42B6">
            <w:pPr>
              <w:jc w:val="right"/>
              <w:rPr>
                <w:rFonts w:hint="eastAsia" w:ascii="宋体" w:hAnsi="宋体" w:eastAsia="宋体" w:cs="宋体"/>
                <w:i w:val="0"/>
                <w:iCs w:val="0"/>
                <w:color w:val="auto"/>
                <w:sz w:val="24"/>
                <w:szCs w:val="24"/>
                <w:highlight w:val="none"/>
                <w:u w:val="none"/>
              </w:rPr>
            </w:pPr>
          </w:p>
        </w:tc>
        <w:tc>
          <w:tcPr>
            <w:tcW w:w="3779" w:type="dxa"/>
            <w:tcBorders>
              <w:top w:val="nil"/>
              <w:left w:val="nil"/>
              <w:bottom w:val="single" w:color="000000" w:sz="8" w:space="0"/>
              <w:right w:val="single" w:color="000000" w:sz="8" w:space="0"/>
            </w:tcBorders>
            <w:noWrap w:val="0"/>
            <w:vAlign w:val="center"/>
          </w:tcPr>
          <w:p w14:paraId="3CF6A3C0">
            <w:pPr>
              <w:jc w:val="right"/>
              <w:rPr>
                <w:rFonts w:hint="eastAsia" w:ascii="宋体" w:hAnsi="宋体" w:eastAsia="宋体" w:cs="宋体"/>
                <w:i w:val="0"/>
                <w:iCs w:val="0"/>
                <w:color w:val="auto"/>
                <w:sz w:val="24"/>
                <w:szCs w:val="24"/>
                <w:highlight w:val="none"/>
                <w:u w:val="none"/>
              </w:rPr>
            </w:pPr>
          </w:p>
        </w:tc>
        <w:tc>
          <w:tcPr>
            <w:tcW w:w="3370" w:type="dxa"/>
            <w:tcBorders>
              <w:top w:val="nil"/>
              <w:left w:val="nil"/>
              <w:bottom w:val="single" w:color="000000" w:sz="8" w:space="0"/>
              <w:right w:val="single" w:color="000000" w:sz="8" w:space="0"/>
            </w:tcBorders>
            <w:noWrap w:val="0"/>
            <w:vAlign w:val="center"/>
          </w:tcPr>
          <w:p w14:paraId="09E85A89">
            <w:pPr>
              <w:jc w:val="right"/>
              <w:rPr>
                <w:rFonts w:hint="eastAsia" w:ascii="宋体" w:hAnsi="宋体" w:eastAsia="宋体" w:cs="宋体"/>
                <w:i w:val="0"/>
                <w:iCs w:val="0"/>
                <w:color w:val="auto"/>
                <w:sz w:val="24"/>
                <w:szCs w:val="24"/>
                <w:highlight w:val="none"/>
                <w:u w:val="none"/>
              </w:rPr>
            </w:pPr>
          </w:p>
        </w:tc>
        <w:tc>
          <w:tcPr>
            <w:tcW w:w="2145" w:type="dxa"/>
            <w:tcBorders>
              <w:top w:val="nil"/>
              <w:left w:val="nil"/>
              <w:bottom w:val="single" w:color="000000" w:sz="8" w:space="0"/>
              <w:right w:val="single" w:color="000000" w:sz="8" w:space="0"/>
            </w:tcBorders>
            <w:noWrap/>
            <w:vAlign w:val="center"/>
          </w:tcPr>
          <w:p w14:paraId="046D3664">
            <w:pPr>
              <w:jc w:val="right"/>
              <w:rPr>
                <w:rFonts w:hint="eastAsia" w:ascii="宋体" w:hAnsi="宋体" w:eastAsia="宋体" w:cs="宋体"/>
                <w:i w:val="0"/>
                <w:iCs w:val="0"/>
                <w:color w:val="auto"/>
                <w:sz w:val="24"/>
                <w:szCs w:val="24"/>
                <w:highlight w:val="none"/>
                <w:u w:val="none"/>
              </w:rPr>
            </w:pPr>
          </w:p>
        </w:tc>
        <w:tc>
          <w:tcPr>
            <w:tcW w:w="2173" w:type="dxa"/>
            <w:tcBorders>
              <w:top w:val="nil"/>
              <w:left w:val="nil"/>
              <w:bottom w:val="single" w:color="000000" w:sz="8" w:space="0"/>
              <w:right w:val="single" w:color="000000" w:sz="8" w:space="0"/>
            </w:tcBorders>
            <w:noWrap w:val="0"/>
            <w:vAlign w:val="center"/>
          </w:tcPr>
          <w:p w14:paraId="73580175">
            <w:pPr>
              <w:jc w:val="right"/>
              <w:rPr>
                <w:rFonts w:hint="eastAsia" w:ascii="宋体" w:hAnsi="宋体" w:eastAsia="宋体" w:cs="宋体"/>
                <w:i w:val="0"/>
                <w:iCs w:val="0"/>
                <w:color w:val="auto"/>
                <w:sz w:val="24"/>
                <w:szCs w:val="24"/>
                <w:highlight w:val="none"/>
                <w:u w:val="none"/>
              </w:rPr>
            </w:pPr>
          </w:p>
        </w:tc>
        <w:tc>
          <w:tcPr>
            <w:tcW w:w="2167" w:type="dxa"/>
            <w:vMerge w:val="continue"/>
            <w:tcBorders>
              <w:top w:val="nil"/>
              <w:left w:val="nil"/>
              <w:bottom w:val="single" w:color="000000" w:sz="8" w:space="0"/>
              <w:right w:val="single" w:color="000000" w:sz="8" w:space="0"/>
            </w:tcBorders>
            <w:noWrap w:val="0"/>
            <w:vAlign w:val="center"/>
          </w:tcPr>
          <w:p w14:paraId="74FF6832">
            <w:pPr>
              <w:jc w:val="center"/>
              <w:rPr>
                <w:rFonts w:hint="eastAsia" w:ascii="宋体" w:hAnsi="宋体" w:eastAsia="宋体" w:cs="宋体"/>
                <w:i w:val="0"/>
                <w:iCs w:val="0"/>
                <w:color w:val="auto"/>
                <w:sz w:val="24"/>
                <w:szCs w:val="24"/>
                <w:highlight w:val="none"/>
                <w:u w:val="none"/>
              </w:rPr>
            </w:pPr>
          </w:p>
        </w:tc>
      </w:tr>
      <w:tr w14:paraId="194809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9" w:hRule="atLeast"/>
        </w:trPr>
        <w:tc>
          <w:tcPr>
            <w:tcW w:w="836" w:type="dxa"/>
            <w:tcBorders>
              <w:top w:val="nil"/>
              <w:left w:val="single" w:color="000000" w:sz="8" w:space="0"/>
              <w:bottom w:val="single" w:color="000000" w:sz="8" w:space="0"/>
              <w:right w:val="single" w:color="000000" w:sz="8" w:space="0"/>
            </w:tcBorders>
            <w:noWrap w:val="0"/>
            <w:vAlign w:val="center"/>
          </w:tcPr>
          <w:p w14:paraId="127A9F2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9</w:t>
            </w:r>
          </w:p>
        </w:tc>
        <w:tc>
          <w:tcPr>
            <w:tcW w:w="3318" w:type="dxa"/>
            <w:tcBorders>
              <w:top w:val="nil"/>
              <w:left w:val="nil"/>
              <w:bottom w:val="single" w:color="000000" w:sz="8" w:space="0"/>
              <w:right w:val="single" w:color="000000" w:sz="8" w:space="0"/>
            </w:tcBorders>
            <w:noWrap w:val="0"/>
            <w:vAlign w:val="center"/>
          </w:tcPr>
          <w:p w14:paraId="5C8E1B5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nginx前置服务器9</w:t>
            </w:r>
          </w:p>
        </w:tc>
        <w:tc>
          <w:tcPr>
            <w:tcW w:w="1758" w:type="dxa"/>
            <w:tcBorders>
              <w:top w:val="nil"/>
              <w:left w:val="nil"/>
              <w:bottom w:val="single" w:color="000000" w:sz="8" w:space="0"/>
              <w:right w:val="single" w:color="000000" w:sz="8" w:space="0"/>
            </w:tcBorders>
            <w:noWrap w:val="0"/>
            <w:vAlign w:val="center"/>
          </w:tcPr>
          <w:p w14:paraId="030CACD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w:t>
            </w:r>
          </w:p>
        </w:tc>
        <w:tc>
          <w:tcPr>
            <w:tcW w:w="1756" w:type="dxa"/>
            <w:tcBorders>
              <w:top w:val="nil"/>
              <w:left w:val="nil"/>
              <w:bottom w:val="single" w:color="000000" w:sz="8" w:space="0"/>
              <w:right w:val="single" w:color="000000" w:sz="8" w:space="0"/>
            </w:tcBorders>
            <w:noWrap w:val="0"/>
            <w:vAlign w:val="center"/>
          </w:tcPr>
          <w:p w14:paraId="17D808C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32</w:t>
            </w:r>
          </w:p>
        </w:tc>
        <w:tc>
          <w:tcPr>
            <w:tcW w:w="1756" w:type="dxa"/>
            <w:tcBorders>
              <w:top w:val="nil"/>
              <w:left w:val="nil"/>
              <w:bottom w:val="single" w:color="000000" w:sz="8" w:space="0"/>
              <w:right w:val="single" w:color="000000" w:sz="8" w:space="0"/>
            </w:tcBorders>
            <w:noWrap w:val="0"/>
            <w:vAlign w:val="center"/>
          </w:tcPr>
          <w:p w14:paraId="329AD9A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500</w:t>
            </w:r>
          </w:p>
        </w:tc>
        <w:tc>
          <w:tcPr>
            <w:tcW w:w="2093" w:type="dxa"/>
            <w:tcBorders>
              <w:top w:val="nil"/>
              <w:left w:val="nil"/>
              <w:bottom w:val="single" w:color="000000" w:sz="8" w:space="0"/>
              <w:right w:val="single" w:color="000000" w:sz="8" w:space="0"/>
            </w:tcBorders>
            <w:noWrap w:val="0"/>
            <w:vAlign w:val="center"/>
          </w:tcPr>
          <w:p w14:paraId="3971F3ED">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centos 7.7</w:t>
            </w:r>
          </w:p>
        </w:tc>
        <w:tc>
          <w:tcPr>
            <w:tcW w:w="1758" w:type="dxa"/>
            <w:tcBorders>
              <w:top w:val="nil"/>
              <w:left w:val="nil"/>
              <w:bottom w:val="single" w:color="000000" w:sz="8" w:space="0"/>
              <w:right w:val="single" w:color="000000" w:sz="8" w:space="0"/>
            </w:tcBorders>
            <w:noWrap w:val="0"/>
            <w:vAlign w:val="center"/>
          </w:tcPr>
          <w:p w14:paraId="2A94AD5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nginx9</w:t>
            </w:r>
          </w:p>
        </w:tc>
        <w:tc>
          <w:tcPr>
            <w:tcW w:w="960" w:type="dxa"/>
            <w:tcBorders>
              <w:top w:val="nil"/>
              <w:left w:val="nil"/>
              <w:bottom w:val="single" w:color="000000" w:sz="8" w:space="0"/>
              <w:right w:val="single" w:color="000000" w:sz="8" w:space="0"/>
            </w:tcBorders>
            <w:noWrap w:val="0"/>
            <w:vAlign w:val="center"/>
          </w:tcPr>
          <w:p w14:paraId="1CF2966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2370" w:type="dxa"/>
            <w:tcBorders>
              <w:top w:val="nil"/>
              <w:left w:val="nil"/>
              <w:bottom w:val="single" w:color="000000" w:sz="8" w:space="0"/>
              <w:right w:val="single" w:color="000000" w:sz="8" w:space="0"/>
            </w:tcBorders>
            <w:noWrap w:val="0"/>
            <w:vAlign w:val="center"/>
          </w:tcPr>
          <w:p w14:paraId="519622D3">
            <w:pPr>
              <w:jc w:val="right"/>
              <w:rPr>
                <w:rFonts w:hint="eastAsia" w:ascii="宋体" w:hAnsi="宋体" w:eastAsia="宋体" w:cs="宋体"/>
                <w:i w:val="0"/>
                <w:iCs w:val="0"/>
                <w:color w:val="auto"/>
                <w:sz w:val="24"/>
                <w:szCs w:val="24"/>
                <w:highlight w:val="none"/>
                <w:u w:val="none"/>
              </w:rPr>
            </w:pPr>
          </w:p>
        </w:tc>
        <w:tc>
          <w:tcPr>
            <w:tcW w:w="3779" w:type="dxa"/>
            <w:tcBorders>
              <w:top w:val="nil"/>
              <w:left w:val="nil"/>
              <w:bottom w:val="single" w:color="000000" w:sz="8" w:space="0"/>
              <w:right w:val="single" w:color="000000" w:sz="8" w:space="0"/>
            </w:tcBorders>
            <w:noWrap w:val="0"/>
            <w:vAlign w:val="center"/>
          </w:tcPr>
          <w:p w14:paraId="5CF215F7">
            <w:pPr>
              <w:jc w:val="right"/>
              <w:rPr>
                <w:rFonts w:hint="eastAsia" w:ascii="宋体" w:hAnsi="宋体" w:eastAsia="宋体" w:cs="宋体"/>
                <w:i w:val="0"/>
                <w:iCs w:val="0"/>
                <w:color w:val="auto"/>
                <w:sz w:val="24"/>
                <w:szCs w:val="24"/>
                <w:highlight w:val="none"/>
                <w:u w:val="none"/>
              </w:rPr>
            </w:pPr>
          </w:p>
        </w:tc>
        <w:tc>
          <w:tcPr>
            <w:tcW w:w="3370" w:type="dxa"/>
            <w:tcBorders>
              <w:top w:val="nil"/>
              <w:left w:val="nil"/>
              <w:bottom w:val="single" w:color="000000" w:sz="8" w:space="0"/>
              <w:right w:val="single" w:color="000000" w:sz="8" w:space="0"/>
            </w:tcBorders>
            <w:noWrap w:val="0"/>
            <w:vAlign w:val="center"/>
          </w:tcPr>
          <w:p w14:paraId="245F14B6">
            <w:pPr>
              <w:jc w:val="right"/>
              <w:rPr>
                <w:rFonts w:hint="eastAsia" w:ascii="宋体" w:hAnsi="宋体" w:eastAsia="宋体" w:cs="宋体"/>
                <w:i w:val="0"/>
                <w:iCs w:val="0"/>
                <w:color w:val="auto"/>
                <w:sz w:val="24"/>
                <w:szCs w:val="24"/>
                <w:highlight w:val="none"/>
                <w:u w:val="none"/>
              </w:rPr>
            </w:pPr>
          </w:p>
        </w:tc>
        <w:tc>
          <w:tcPr>
            <w:tcW w:w="2145" w:type="dxa"/>
            <w:tcBorders>
              <w:top w:val="nil"/>
              <w:left w:val="nil"/>
              <w:bottom w:val="single" w:color="000000" w:sz="8" w:space="0"/>
              <w:right w:val="single" w:color="000000" w:sz="8" w:space="0"/>
            </w:tcBorders>
            <w:noWrap/>
            <w:vAlign w:val="center"/>
          </w:tcPr>
          <w:p w14:paraId="6F56C655">
            <w:pPr>
              <w:jc w:val="right"/>
              <w:rPr>
                <w:rFonts w:hint="eastAsia" w:ascii="宋体" w:hAnsi="宋体" w:eastAsia="宋体" w:cs="宋体"/>
                <w:i w:val="0"/>
                <w:iCs w:val="0"/>
                <w:color w:val="auto"/>
                <w:sz w:val="24"/>
                <w:szCs w:val="24"/>
                <w:highlight w:val="none"/>
                <w:u w:val="none"/>
              </w:rPr>
            </w:pPr>
          </w:p>
        </w:tc>
        <w:tc>
          <w:tcPr>
            <w:tcW w:w="2173" w:type="dxa"/>
            <w:tcBorders>
              <w:top w:val="nil"/>
              <w:left w:val="nil"/>
              <w:bottom w:val="single" w:color="000000" w:sz="8" w:space="0"/>
              <w:right w:val="single" w:color="000000" w:sz="8" w:space="0"/>
            </w:tcBorders>
            <w:noWrap w:val="0"/>
            <w:vAlign w:val="center"/>
          </w:tcPr>
          <w:p w14:paraId="3BB6A8D5">
            <w:pPr>
              <w:jc w:val="right"/>
              <w:rPr>
                <w:rFonts w:hint="eastAsia" w:ascii="宋体" w:hAnsi="宋体" w:eastAsia="宋体" w:cs="宋体"/>
                <w:i w:val="0"/>
                <w:iCs w:val="0"/>
                <w:color w:val="auto"/>
                <w:sz w:val="24"/>
                <w:szCs w:val="24"/>
                <w:highlight w:val="none"/>
                <w:u w:val="none"/>
              </w:rPr>
            </w:pPr>
          </w:p>
        </w:tc>
        <w:tc>
          <w:tcPr>
            <w:tcW w:w="2167" w:type="dxa"/>
            <w:vMerge w:val="continue"/>
            <w:tcBorders>
              <w:top w:val="nil"/>
              <w:left w:val="nil"/>
              <w:bottom w:val="single" w:color="000000" w:sz="8" w:space="0"/>
              <w:right w:val="single" w:color="000000" w:sz="8" w:space="0"/>
            </w:tcBorders>
            <w:noWrap w:val="0"/>
            <w:vAlign w:val="center"/>
          </w:tcPr>
          <w:p w14:paraId="35A86332">
            <w:pPr>
              <w:jc w:val="center"/>
              <w:rPr>
                <w:rFonts w:hint="eastAsia" w:ascii="宋体" w:hAnsi="宋体" w:eastAsia="宋体" w:cs="宋体"/>
                <w:i w:val="0"/>
                <w:iCs w:val="0"/>
                <w:color w:val="auto"/>
                <w:sz w:val="24"/>
                <w:szCs w:val="24"/>
                <w:highlight w:val="none"/>
                <w:u w:val="none"/>
              </w:rPr>
            </w:pPr>
          </w:p>
        </w:tc>
      </w:tr>
      <w:tr w14:paraId="6615FC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9" w:hRule="atLeast"/>
        </w:trPr>
        <w:tc>
          <w:tcPr>
            <w:tcW w:w="836" w:type="dxa"/>
            <w:tcBorders>
              <w:top w:val="nil"/>
              <w:left w:val="single" w:color="000000" w:sz="8" w:space="0"/>
              <w:bottom w:val="single" w:color="000000" w:sz="8" w:space="0"/>
              <w:right w:val="single" w:color="000000" w:sz="8" w:space="0"/>
            </w:tcBorders>
            <w:noWrap w:val="0"/>
            <w:vAlign w:val="center"/>
          </w:tcPr>
          <w:p w14:paraId="087CFDF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10</w:t>
            </w:r>
          </w:p>
        </w:tc>
        <w:tc>
          <w:tcPr>
            <w:tcW w:w="3318" w:type="dxa"/>
            <w:tcBorders>
              <w:top w:val="nil"/>
              <w:left w:val="nil"/>
              <w:bottom w:val="single" w:color="000000" w:sz="8" w:space="0"/>
              <w:right w:val="single" w:color="000000" w:sz="8" w:space="0"/>
            </w:tcBorders>
            <w:noWrap w:val="0"/>
            <w:vAlign w:val="center"/>
          </w:tcPr>
          <w:p w14:paraId="4D16A8D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nginx前置服务器10</w:t>
            </w:r>
          </w:p>
        </w:tc>
        <w:tc>
          <w:tcPr>
            <w:tcW w:w="1758" w:type="dxa"/>
            <w:tcBorders>
              <w:top w:val="nil"/>
              <w:left w:val="nil"/>
              <w:bottom w:val="single" w:color="000000" w:sz="8" w:space="0"/>
              <w:right w:val="single" w:color="000000" w:sz="8" w:space="0"/>
            </w:tcBorders>
            <w:noWrap w:val="0"/>
            <w:vAlign w:val="center"/>
          </w:tcPr>
          <w:p w14:paraId="1557A57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w:t>
            </w:r>
          </w:p>
        </w:tc>
        <w:tc>
          <w:tcPr>
            <w:tcW w:w="1756" w:type="dxa"/>
            <w:tcBorders>
              <w:top w:val="nil"/>
              <w:left w:val="nil"/>
              <w:bottom w:val="single" w:color="000000" w:sz="8" w:space="0"/>
              <w:right w:val="single" w:color="000000" w:sz="8" w:space="0"/>
            </w:tcBorders>
            <w:noWrap w:val="0"/>
            <w:vAlign w:val="center"/>
          </w:tcPr>
          <w:p w14:paraId="4947D90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32</w:t>
            </w:r>
          </w:p>
        </w:tc>
        <w:tc>
          <w:tcPr>
            <w:tcW w:w="1756" w:type="dxa"/>
            <w:tcBorders>
              <w:top w:val="nil"/>
              <w:left w:val="nil"/>
              <w:bottom w:val="single" w:color="000000" w:sz="8" w:space="0"/>
              <w:right w:val="single" w:color="000000" w:sz="8" w:space="0"/>
            </w:tcBorders>
            <w:noWrap w:val="0"/>
            <w:vAlign w:val="center"/>
          </w:tcPr>
          <w:p w14:paraId="6B57315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500</w:t>
            </w:r>
          </w:p>
        </w:tc>
        <w:tc>
          <w:tcPr>
            <w:tcW w:w="2093" w:type="dxa"/>
            <w:tcBorders>
              <w:top w:val="nil"/>
              <w:left w:val="nil"/>
              <w:bottom w:val="single" w:color="000000" w:sz="8" w:space="0"/>
              <w:right w:val="single" w:color="000000" w:sz="8" w:space="0"/>
            </w:tcBorders>
            <w:noWrap w:val="0"/>
            <w:vAlign w:val="center"/>
          </w:tcPr>
          <w:p w14:paraId="18357DC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centos 7.7</w:t>
            </w:r>
          </w:p>
        </w:tc>
        <w:tc>
          <w:tcPr>
            <w:tcW w:w="1758" w:type="dxa"/>
            <w:tcBorders>
              <w:top w:val="nil"/>
              <w:left w:val="nil"/>
              <w:bottom w:val="single" w:color="000000" w:sz="8" w:space="0"/>
              <w:right w:val="single" w:color="000000" w:sz="8" w:space="0"/>
            </w:tcBorders>
            <w:noWrap w:val="0"/>
            <w:vAlign w:val="center"/>
          </w:tcPr>
          <w:p w14:paraId="2AACA4B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nginx10</w:t>
            </w:r>
          </w:p>
        </w:tc>
        <w:tc>
          <w:tcPr>
            <w:tcW w:w="960" w:type="dxa"/>
            <w:tcBorders>
              <w:top w:val="nil"/>
              <w:left w:val="nil"/>
              <w:bottom w:val="single" w:color="000000" w:sz="8" w:space="0"/>
              <w:right w:val="single" w:color="000000" w:sz="8" w:space="0"/>
            </w:tcBorders>
            <w:noWrap w:val="0"/>
            <w:vAlign w:val="center"/>
          </w:tcPr>
          <w:p w14:paraId="4950602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2370" w:type="dxa"/>
            <w:tcBorders>
              <w:top w:val="nil"/>
              <w:left w:val="nil"/>
              <w:bottom w:val="single" w:color="000000" w:sz="8" w:space="0"/>
              <w:right w:val="single" w:color="000000" w:sz="8" w:space="0"/>
            </w:tcBorders>
            <w:noWrap w:val="0"/>
            <w:vAlign w:val="center"/>
          </w:tcPr>
          <w:p w14:paraId="5866D51D">
            <w:pPr>
              <w:jc w:val="right"/>
              <w:rPr>
                <w:rFonts w:hint="eastAsia" w:ascii="宋体" w:hAnsi="宋体" w:eastAsia="宋体" w:cs="宋体"/>
                <w:i w:val="0"/>
                <w:iCs w:val="0"/>
                <w:color w:val="auto"/>
                <w:sz w:val="24"/>
                <w:szCs w:val="24"/>
                <w:highlight w:val="none"/>
                <w:u w:val="none"/>
              </w:rPr>
            </w:pPr>
          </w:p>
        </w:tc>
        <w:tc>
          <w:tcPr>
            <w:tcW w:w="3779" w:type="dxa"/>
            <w:tcBorders>
              <w:top w:val="nil"/>
              <w:left w:val="nil"/>
              <w:bottom w:val="single" w:color="000000" w:sz="8" w:space="0"/>
              <w:right w:val="single" w:color="000000" w:sz="8" w:space="0"/>
            </w:tcBorders>
            <w:noWrap w:val="0"/>
            <w:vAlign w:val="center"/>
          </w:tcPr>
          <w:p w14:paraId="3465F5C8">
            <w:pPr>
              <w:jc w:val="right"/>
              <w:rPr>
                <w:rFonts w:hint="eastAsia" w:ascii="宋体" w:hAnsi="宋体" w:eastAsia="宋体" w:cs="宋体"/>
                <w:i w:val="0"/>
                <w:iCs w:val="0"/>
                <w:color w:val="auto"/>
                <w:sz w:val="24"/>
                <w:szCs w:val="24"/>
                <w:highlight w:val="none"/>
                <w:u w:val="none"/>
              </w:rPr>
            </w:pPr>
          </w:p>
        </w:tc>
        <w:tc>
          <w:tcPr>
            <w:tcW w:w="3370" w:type="dxa"/>
            <w:tcBorders>
              <w:top w:val="nil"/>
              <w:left w:val="nil"/>
              <w:bottom w:val="single" w:color="000000" w:sz="8" w:space="0"/>
              <w:right w:val="single" w:color="000000" w:sz="8" w:space="0"/>
            </w:tcBorders>
            <w:noWrap w:val="0"/>
            <w:vAlign w:val="center"/>
          </w:tcPr>
          <w:p w14:paraId="74A1F1C3">
            <w:pPr>
              <w:jc w:val="right"/>
              <w:rPr>
                <w:rFonts w:hint="eastAsia" w:ascii="宋体" w:hAnsi="宋体" w:eastAsia="宋体" w:cs="宋体"/>
                <w:i w:val="0"/>
                <w:iCs w:val="0"/>
                <w:color w:val="auto"/>
                <w:sz w:val="24"/>
                <w:szCs w:val="24"/>
                <w:highlight w:val="none"/>
                <w:u w:val="none"/>
              </w:rPr>
            </w:pPr>
          </w:p>
        </w:tc>
        <w:tc>
          <w:tcPr>
            <w:tcW w:w="2145" w:type="dxa"/>
            <w:tcBorders>
              <w:top w:val="nil"/>
              <w:left w:val="nil"/>
              <w:bottom w:val="single" w:color="000000" w:sz="8" w:space="0"/>
              <w:right w:val="single" w:color="000000" w:sz="8" w:space="0"/>
            </w:tcBorders>
            <w:noWrap/>
            <w:vAlign w:val="center"/>
          </w:tcPr>
          <w:p w14:paraId="50312E19">
            <w:pPr>
              <w:jc w:val="right"/>
              <w:rPr>
                <w:rFonts w:hint="eastAsia" w:ascii="宋体" w:hAnsi="宋体" w:eastAsia="宋体" w:cs="宋体"/>
                <w:i w:val="0"/>
                <w:iCs w:val="0"/>
                <w:color w:val="auto"/>
                <w:sz w:val="24"/>
                <w:szCs w:val="24"/>
                <w:highlight w:val="none"/>
                <w:u w:val="none"/>
              </w:rPr>
            </w:pPr>
          </w:p>
        </w:tc>
        <w:tc>
          <w:tcPr>
            <w:tcW w:w="2173" w:type="dxa"/>
            <w:tcBorders>
              <w:top w:val="nil"/>
              <w:left w:val="nil"/>
              <w:bottom w:val="single" w:color="000000" w:sz="8" w:space="0"/>
              <w:right w:val="single" w:color="000000" w:sz="8" w:space="0"/>
            </w:tcBorders>
            <w:noWrap w:val="0"/>
            <w:vAlign w:val="center"/>
          </w:tcPr>
          <w:p w14:paraId="31FDF74F">
            <w:pPr>
              <w:jc w:val="right"/>
              <w:rPr>
                <w:rFonts w:hint="eastAsia" w:ascii="宋体" w:hAnsi="宋体" w:eastAsia="宋体" w:cs="宋体"/>
                <w:i w:val="0"/>
                <w:iCs w:val="0"/>
                <w:color w:val="auto"/>
                <w:sz w:val="24"/>
                <w:szCs w:val="24"/>
                <w:highlight w:val="none"/>
                <w:u w:val="none"/>
              </w:rPr>
            </w:pPr>
          </w:p>
        </w:tc>
        <w:tc>
          <w:tcPr>
            <w:tcW w:w="2167" w:type="dxa"/>
            <w:vMerge w:val="continue"/>
            <w:tcBorders>
              <w:top w:val="nil"/>
              <w:left w:val="nil"/>
              <w:bottom w:val="single" w:color="000000" w:sz="8" w:space="0"/>
              <w:right w:val="single" w:color="000000" w:sz="8" w:space="0"/>
            </w:tcBorders>
            <w:noWrap w:val="0"/>
            <w:vAlign w:val="center"/>
          </w:tcPr>
          <w:p w14:paraId="60FF9A4E">
            <w:pPr>
              <w:jc w:val="center"/>
              <w:rPr>
                <w:rFonts w:hint="eastAsia" w:ascii="宋体" w:hAnsi="宋体" w:eastAsia="宋体" w:cs="宋体"/>
                <w:i w:val="0"/>
                <w:iCs w:val="0"/>
                <w:color w:val="auto"/>
                <w:sz w:val="24"/>
                <w:szCs w:val="24"/>
                <w:highlight w:val="none"/>
                <w:u w:val="none"/>
              </w:rPr>
            </w:pPr>
          </w:p>
        </w:tc>
      </w:tr>
      <w:tr w14:paraId="1659D4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9" w:hRule="atLeast"/>
        </w:trPr>
        <w:tc>
          <w:tcPr>
            <w:tcW w:w="836" w:type="dxa"/>
            <w:tcBorders>
              <w:top w:val="nil"/>
              <w:left w:val="single" w:color="000000" w:sz="8" w:space="0"/>
              <w:bottom w:val="single" w:color="000000" w:sz="8" w:space="0"/>
              <w:right w:val="single" w:color="000000" w:sz="8" w:space="0"/>
            </w:tcBorders>
            <w:noWrap w:val="0"/>
            <w:vAlign w:val="center"/>
          </w:tcPr>
          <w:p w14:paraId="0C4BF6E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11</w:t>
            </w:r>
          </w:p>
        </w:tc>
        <w:tc>
          <w:tcPr>
            <w:tcW w:w="3318" w:type="dxa"/>
            <w:tcBorders>
              <w:top w:val="nil"/>
              <w:left w:val="nil"/>
              <w:bottom w:val="single" w:color="000000" w:sz="8" w:space="0"/>
              <w:right w:val="single" w:color="000000" w:sz="8" w:space="0"/>
            </w:tcBorders>
            <w:noWrap w:val="0"/>
            <w:vAlign w:val="center"/>
          </w:tcPr>
          <w:p w14:paraId="2CF37FE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nginx前置服务器11</w:t>
            </w:r>
          </w:p>
        </w:tc>
        <w:tc>
          <w:tcPr>
            <w:tcW w:w="1758" w:type="dxa"/>
            <w:tcBorders>
              <w:top w:val="nil"/>
              <w:left w:val="nil"/>
              <w:bottom w:val="single" w:color="000000" w:sz="8" w:space="0"/>
              <w:right w:val="single" w:color="000000" w:sz="8" w:space="0"/>
            </w:tcBorders>
            <w:noWrap w:val="0"/>
            <w:vAlign w:val="center"/>
          </w:tcPr>
          <w:p w14:paraId="6EACC61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w:t>
            </w:r>
          </w:p>
        </w:tc>
        <w:tc>
          <w:tcPr>
            <w:tcW w:w="1756" w:type="dxa"/>
            <w:tcBorders>
              <w:top w:val="nil"/>
              <w:left w:val="nil"/>
              <w:bottom w:val="single" w:color="000000" w:sz="8" w:space="0"/>
              <w:right w:val="single" w:color="000000" w:sz="8" w:space="0"/>
            </w:tcBorders>
            <w:noWrap w:val="0"/>
            <w:vAlign w:val="center"/>
          </w:tcPr>
          <w:p w14:paraId="5266E69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32</w:t>
            </w:r>
          </w:p>
        </w:tc>
        <w:tc>
          <w:tcPr>
            <w:tcW w:w="1756" w:type="dxa"/>
            <w:tcBorders>
              <w:top w:val="nil"/>
              <w:left w:val="nil"/>
              <w:bottom w:val="single" w:color="000000" w:sz="8" w:space="0"/>
              <w:right w:val="single" w:color="000000" w:sz="8" w:space="0"/>
            </w:tcBorders>
            <w:noWrap w:val="0"/>
            <w:vAlign w:val="center"/>
          </w:tcPr>
          <w:p w14:paraId="4FE8E76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500</w:t>
            </w:r>
          </w:p>
        </w:tc>
        <w:tc>
          <w:tcPr>
            <w:tcW w:w="2093" w:type="dxa"/>
            <w:tcBorders>
              <w:top w:val="nil"/>
              <w:left w:val="nil"/>
              <w:bottom w:val="single" w:color="000000" w:sz="8" w:space="0"/>
              <w:right w:val="single" w:color="000000" w:sz="8" w:space="0"/>
            </w:tcBorders>
            <w:noWrap w:val="0"/>
            <w:vAlign w:val="center"/>
          </w:tcPr>
          <w:p w14:paraId="6F3F6A0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centos 7.7</w:t>
            </w:r>
          </w:p>
        </w:tc>
        <w:tc>
          <w:tcPr>
            <w:tcW w:w="1758" w:type="dxa"/>
            <w:tcBorders>
              <w:top w:val="nil"/>
              <w:left w:val="nil"/>
              <w:bottom w:val="single" w:color="000000" w:sz="8" w:space="0"/>
              <w:right w:val="single" w:color="000000" w:sz="8" w:space="0"/>
            </w:tcBorders>
            <w:noWrap w:val="0"/>
            <w:vAlign w:val="center"/>
          </w:tcPr>
          <w:p w14:paraId="51BF351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nginx11</w:t>
            </w:r>
          </w:p>
        </w:tc>
        <w:tc>
          <w:tcPr>
            <w:tcW w:w="960" w:type="dxa"/>
            <w:tcBorders>
              <w:top w:val="nil"/>
              <w:left w:val="nil"/>
              <w:bottom w:val="single" w:color="000000" w:sz="8" w:space="0"/>
              <w:right w:val="single" w:color="000000" w:sz="8" w:space="0"/>
            </w:tcBorders>
            <w:noWrap w:val="0"/>
            <w:vAlign w:val="center"/>
          </w:tcPr>
          <w:p w14:paraId="6B7BF7A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2370" w:type="dxa"/>
            <w:tcBorders>
              <w:top w:val="nil"/>
              <w:left w:val="nil"/>
              <w:bottom w:val="single" w:color="000000" w:sz="8" w:space="0"/>
              <w:right w:val="single" w:color="000000" w:sz="8" w:space="0"/>
            </w:tcBorders>
            <w:noWrap w:val="0"/>
            <w:vAlign w:val="center"/>
          </w:tcPr>
          <w:p w14:paraId="35B1D603">
            <w:pPr>
              <w:jc w:val="right"/>
              <w:rPr>
                <w:rFonts w:hint="eastAsia" w:ascii="宋体" w:hAnsi="宋体" w:eastAsia="宋体" w:cs="宋体"/>
                <w:i w:val="0"/>
                <w:iCs w:val="0"/>
                <w:color w:val="auto"/>
                <w:sz w:val="24"/>
                <w:szCs w:val="24"/>
                <w:highlight w:val="none"/>
                <w:u w:val="none"/>
              </w:rPr>
            </w:pPr>
          </w:p>
        </w:tc>
        <w:tc>
          <w:tcPr>
            <w:tcW w:w="3779" w:type="dxa"/>
            <w:tcBorders>
              <w:top w:val="nil"/>
              <w:left w:val="nil"/>
              <w:bottom w:val="single" w:color="000000" w:sz="8" w:space="0"/>
              <w:right w:val="single" w:color="000000" w:sz="8" w:space="0"/>
            </w:tcBorders>
            <w:noWrap w:val="0"/>
            <w:vAlign w:val="center"/>
          </w:tcPr>
          <w:p w14:paraId="47A82C4D">
            <w:pPr>
              <w:jc w:val="right"/>
              <w:rPr>
                <w:rFonts w:hint="eastAsia" w:ascii="宋体" w:hAnsi="宋体" w:eastAsia="宋体" w:cs="宋体"/>
                <w:i w:val="0"/>
                <w:iCs w:val="0"/>
                <w:color w:val="auto"/>
                <w:sz w:val="24"/>
                <w:szCs w:val="24"/>
                <w:highlight w:val="none"/>
                <w:u w:val="none"/>
              </w:rPr>
            </w:pPr>
          </w:p>
        </w:tc>
        <w:tc>
          <w:tcPr>
            <w:tcW w:w="3370" w:type="dxa"/>
            <w:tcBorders>
              <w:top w:val="nil"/>
              <w:left w:val="nil"/>
              <w:bottom w:val="single" w:color="000000" w:sz="8" w:space="0"/>
              <w:right w:val="single" w:color="000000" w:sz="8" w:space="0"/>
            </w:tcBorders>
            <w:noWrap w:val="0"/>
            <w:vAlign w:val="center"/>
          </w:tcPr>
          <w:p w14:paraId="79EB02E2">
            <w:pPr>
              <w:jc w:val="right"/>
              <w:rPr>
                <w:rFonts w:hint="eastAsia" w:ascii="宋体" w:hAnsi="宋体" w:eastAsia="宋体" w:cs="宋体"/>
                <w:i w:val="0"/>
                <w:iCs w:val="0"/>
                <w:color w:val="auto"/>
                <w:sz w:val="24"/>
                <w:szCs w:val="24"/>
                <w:highlight w:val="none"/>
                <w:u w:val="none"/>
              </w:rPr>
            </w:pPr>
          </w:p>
        </w:tc>
        <w:tc>
          <w:tcPr>
            <w:tcW w:w="2145" w:type="dxa"/>
            <w:tcBorders>
              <w:top w:val="nil"/>
              <w:left w:val="nil"/>
              <w:bottom w:val="single" w:color="000000" w:sz="8" w:space="0"/>
              <w:right w:val="single" w:color="000000" w:sz="8" w:space="0"/>
            </w:tcBorders>
            <w:noWrap/>
            <w:vAlign w:val="center"/>
          </w:tcPr>
          <w:p w14:paraId="68661EFF">
            <w:pPr>
              <w:jc w:val="right"/>
              <w:rPr>
                <w:rFonts w:hint="eastAsia" w:ascii="宋体" w:hAnsi="宋体" w:eastAsia="宋体" w:cs="宋体"/>
                <w:i w:val="0"/>
                <w:iCs w:val="0"/>
                <w:color w:val="auto"/>
                <w:sz w:val="24"/>
                <w:szCs w:val="24"/>
                <w:highlight w:val="none"/>
                <w:u w:val="none"/>
              </w:rPr>
            </w:pPr>
          </w:p>
        </w:tc>
        <w:tc>
          <w:tcPr>
            <w:tcW w:w="2173" w:type="dxa"/>
            <w:tcBorders>
              <w:top w:val="nil"/>
              <w:left w:val="nil"/>
              <w:bottom w:val="single" w:color="000000" w:sz="8" w:space="0"/>
              <w:right w:val="single" w:color="000000" w:sz="8" w:space="0"/>
            </w:tcBorders>
            <w:noWrap w:val="0"/>
            <w:vAlign w:val="center"/>
          </w:tcPr>
          <w:p w14:paraId="6970A6E0">
            <w:pPr>
              <w:jc w:val="right"/>
              <w:rPr>
                <w:rFonts w:hint="eastAsia" w:ascii="宋体" w:hAnsi="宋体" w:eastAsia="宋体" w:cs="宋体"/>
                <w:i w:val="0"/>
                <w:iCs w:val="0"/>
                <w:color w:val="auto"/>
                <w:sz w:val="24"/>
                <w:szCs w:val="24"/>
                <w:highlight w:val="none"/>
                <w:u w:val="none"/>
              </w:rPr>
            </w:pPr>
          </w:p>
        </w:tc>
        <w:tc>
          <w:tcPr>
            <w:tcW w:w="2167" w:type="dxa"/>
            <w:vMerge w:val="continue"/>
            <w:tcBorders>
              <w:top w:val="nil"/>
              <w:left w:val="nil"/>
              <w:bottom w:val="single" w:color="000000" w:sz="8" w:space="0"/>
              <w:right w:val="single" w:color="000000" w:sz="8" w:space="0"/>
            </w:tcBorders>
            <w:noWrap w:val="0"/>
            <w:vAlign w:val="center"/>
          </w:tcPr>
          <w:p w14:paraId="731023B0">
            <w:pPr>
              <w:jc w:val="center"/>
              <w:rPr>
                <w:rFonts w:hint="eastAsia" w:ascii="宋体" w:hAnsi="宋体" w:eastAsia="宋体" w:cs="宋体"/>
                <w:i w:val="0"/>
                <w:iCs w:val="0"/>
                <w:color w:val="auto"/>
                <w:sz w:val="24"/>
                <w:szCs w:val="24"/>
                <w:highlight w:val="none"/>
                <w:u w:val="none"/>
              </w:rPr>
            </w:pPr>
          </w:p>
        </w:tc>
      </w:tr>
      <w:tr w14:paraId="0389ED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9" w:hRule="atLeast"/>
        </w:trPr>
        <w:tc>
          <w:tcPr>
            <w:tcW w:w="836" w:type="dxa"/>
            <w:tcBorders>
              <w:top w:val="nil"/>
              <w:left w:val="single" w:color="000000" w:sz="8" w:space="0"/>
              <w:bottom w:val="single" w:color="000000" w:sz="8" w:space="0"/>
              <w:right w:val="single" w:color="000000" w:sz="8" w:space="0"/>
            </w:tcBorders>
            <w:noWrap w:val="0"/>
            <w:vAlign w:val="center"/>
          </w:tcPr>
          <w:p w14:paraId="39F9B2B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12</w:t>
            </w:r>
          </w:p>
        </w:tc>
        <w:tc>
          <w:tcPr>
            <w:tcW w:w="3318" w:type="dxa"/>
            <w:tcBorders>
              <w:top w:val="nil"/>
              <w:left w:val="nil"/>
              <w:bottom w:val="single" w:color="000000" w:sz="8" w:space="0"/>
              <w:right w:val="single" w:color="000000" w:sz="8" w:space="0"/>
            </w:tcBorders>
            <w:noWrap w:val="0"/>
            <w:vAlign w:val="center"/>
          </w:tcPr>
          <w:p w14:paraId="39DEFF6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nginx前置服务器12</w:t>
            </w:r>
          </w:p>
        </w:tc>
        <w:tc>
          <w:tcPr>
            <w:tcW w:w="1758" w:type="dxa"/>
            <w:tcBorders>
              <w:top w:val="nil"/>
              <w:left w:val="nil"/>
              <w:bottom w:val="single" w:color="000000" w:sz="8" w:space="0"/>
              <w:right w:val="single" w:color="000000" w:sz="8" w:space="0"/>
            </w:tcBorders>
            <w:noWrap w:val="0"/>
            <w:vAlign w:val="center"/>
          </w:tcPr>
          <w:p w14:paraId="62699B6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w:t>
            </w:r>
          </w:p>
        </w:tc>
        <w:tc>
          <w:tcPr>
            <w:tcW w:w="1756" w:type="dxa"/>
            <w:tcBorders>
              <w:top w:val="nil"/>
              <w:left w:val="nil"/>
              <w:bottom w:val="single" w:color="000000" w:sz="8" w:space="0"/>
              <w:right w:val="single" w:color="000000" w:sz="8" w:space="0"/>
            </w:tcBorders>
            <w:noWrap w:val="0"/>
            <w:vAlign w:val="center"/>
          </w:tcPr>
          <w:p w14:paraId="001CD10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32</w:t>
            </w:r>
          </w:p>
        </w:tc>
        <w:tc>
          <w:tcPr>
            <w:tcW w:w="1756" w:type="dxa"/>
            <w:tcBorders>
              <w:top w:val="nil"/>
              <w:left w:val="nil"/>
              <w:bottom w:val="single" w:color="000000" w:sz="8" w:space="0"/>
              <w:right w:val="single" w:color="000000" w:sz="8" w:space="0"/>
            </w:tcBorders>
            <w:noWrap w:val="0"/>
            <w:vAlign w:val="center"/>
          </w:tcPr>
          <w:p w14:paraId="20BB5B6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500</w:t>
            </w:r>
          </w:p>
        </w:tc>
        <w:tc>
          <w:tcPr>
            <w:tcW w:w="2093" w:type="dxa"/>
            <w:tcBorders>
              <w:top w:val="nil"/>
              <w:left w:val="nil"/>
              <w:bottom w:val="single" w:color="000000" w:sz="8" w:space="0"/>
              <w:right w:val="single" w:color="000000" w:sz="8" w:space="0"/>
            </w:tcBorders>
            <w:noWrap w:val="0"/>
            <w:vAlign w:val="center"/>
          </w:tcPr>
          <w:p w14:paraId="7FB1EC29">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centos 7.7</w:t>
            </w:r>
          </w:p>
        </w:tc>
        <w:tc>
          <w:tcPr>
            <w:tcW w:w="1758" w:type="dxa"/>
            <w:tcBorders>
              <w:top w:val="nil"/>
              <w:left w:val="nil"/>
              <w:bottom w:val="single" w:color="000000" w:sz="8" w:space="0"/>
              <w:right w:val="single" w:color="000000" w:sz="8" w:space="0"/>
            </w:tcBorders>
            <w:noWrap w:val="0"/>
            <w:vAlign w:val="center"/>
          </w:tcPr>
          <w:p w14:paraId="3EE0F8B0">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nginx12</w:t>
            </w:r>
          </w:p>
        </w:tc>
        <w:tc>
          <w:tcPr>
            <w:tcW w:w="960" w:type="dxa"/>
            <w:tcBorders>
              <w:top w:val="nil"/>
              <w:left w:val="nil"/>
              <w:bottom w:val="single" w:color="000000" w:sz="8" w:space="0"/>
              <w:right w:val="single" w:color="000000" w:sz="8" w:space="0"/>
            </w:tcBorders>
            <w:noWrap w:val="0"/>
            <w:vAlign w:val="center"/>
          </w:tcPr>
          <w:p w14:paraId="29203FA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2370" w:type="dxa"/>
            <w:tcBorders>
              <w:top w:val="nil"/>
              <w:left w:val="nil"/>
              <w:bottom w:val="single" w:color="000000" w:sz="8" w:space="0"/>
              <w:right w:val="single" w:color="000000" w:sz="8" w:space="0"/>
            </w:tcBorders>
            <w:noWrap w:val="0"/>
            <w:vAlign w:val="center"/>
          </w:tcPr>
          <w:p w14:paraId="34D52DE3">
            <w:pPr>
              <w:jc w:val="right"/>
              <w:rPr>
                <w:rFonts w:hint="eastAsia" w:ascii="宋体" w:hAnsi="宋体" w:eastAsia="宋体" w:cs="宋体"/>
                <w:i w:val="0"/>
                <w:iCs w:val="0"/>
                <w:color w:val="auto"/>
                <w:sz w:val="24"/>
                <w:szCs w:val="24"/>
                <w:highlight w:val="none"/>
                <w:u w:val="none"/>
              </w:rPr>
            </w:pPr>
          </w:p>
        </w:tc>
        <w:tc>
          <w:tcPr>
            <w:tcW w:w="3779" w:type="dxa"/>
            <w:tcBorders>
              <w:top w:val="nil"/>
              <w:left w:val="nil"/>
              <w:bottom w:val="single" w:color="000000" w:sz="8" w:space="0"/>
              <w:right w:val="single" w:color="000000" w:sz="8" w:space="0"/>
            </w:tcBorders>
            <w:noWrap w:val="0"/>
            <w:vAlign w:val="center"/>
          </w:tcPr>
          <w:p w14:paraId="4892DC6E">
            <w:pPr>
              <w:jc w:val="right"/>
              <w:rPr>
                <w:rFonts w:hint="eastAsia" w:ascii="宋体" w:hAnsi="宋体" w:eastAsia="宋体" w:cs="宋体"/>
                <w:i w:val="0"/>
                <w:iCs w:val="0"/>
                <w:color w:val="auto"/>
                <w:sz w:val="24"/>
                <w:szCs w:val="24"/>
                <w:highlight w:val="none"/>
                <w:u w:val="none"/>
              </w:rPr>
            </w:pPr>
          </w:p>
        </w:tc>
        <w:tc>
          <w:tcPr>
            <w:tcW w:w="3370" w:type="dxa"/>
            <w:tcBorders>
              <w:top w:val="nil"/>
              <w:left w:val="nil"/>
              <w:bottom w:val="single" w:color="000000" w:sz="8" w:space="0"/>
              <w:right w:val="single" w:color="000000" w:sz="8" w:space="0"/>
            </w:tcBorders>
            <w:noWrap w:val="0"/>
            <w:vAlign w:val="center"/>
          </w:tcPr>
          <w:p w14:paraId="6CAD54F6">
            <w:pPr>
              <w:jc w:val="right"/>
              <w:rPr>
                <w:rFonts w:hint="eastAsia" w:ascii="宋体" w:hAnsi="宋体" w:eastAsia="宋体" w:cs="宋体"/>
                <w:i w:val="0"/>
                <w:iCs w:val="0"/>
                <w:color w:val="auto"/>
                <w:sz w:val="24"/>
                <w:szCs w:val="24"/>
                <w:highlight w:val="none"/>
                <w:u w:val="none"/>
              </w:rPr>
            </w:pPr>
          </w:p>
        </w:tc>
        <w:tc>
          <w:tcPr>
            <w:tcW w:w="2145" w:type="dxa"/>
            <w:tcBorders>
              <w:top w:val="nil"/>
              <w:left w:val="nil"/>
              <w:bottom w:val="single" w:color="000000" w:sz="8" w:space="0"/>
              <w:right w:val="single" w:color="000000" w:sz="8" w:space="0"/>
            </w:tcBorders>
            <w:noWrap/>
            <w:vAlign w:val="center"/>
          </w:tcPr>
          <w:p w14:paraId="4685D691">
            <w:pPr>
              <w:jc w:val="right"/>
              <w:rPr>
                <w:rFonts w:hint="eastAsia" w:ascii="宋体" w:hAnsi="宋体" w:eastAsia="宋体" w:cs="宋体"/>
                <w:i w:val="0"/>
                <w:iCs w:val="0"/>
                <w:color w:val="auto"/>
                <w:sz w:val="24"/>
                <w:szCs w:val="24"/>
                <w:highlight w:val="none"/>
                <w:u w:val="none"/>
              </w:rPr>
            </w:pPr>
          </w:p>
        </w:tc>
        <w:tc>
          <w:tcPr>
            <w:tcW w:w="2173" w:type="dxa"/>
            <w:tcBorders>
              <w:top w:val="nil"/>
              <w:left w:val="nil"/>
              <w:bottom w:val="single" w:color="000000" w:sz="8" w:space="0"/>
              <w:right w:val="single" w:color="000000" w:sz="8" w:space="0"/>
            </w:tcBorders>
            <w:noWrap w:val="0"/>
            <w:vAlign w:val="center"/>
          </w:tcPr>
          <w:p w14:paraId="44610D92">
            <w:pPr>
              <w:jc w:val="right"/>
              <w:rPr>
                <w:rFonts w:hint="eastAsia" w:ascii="宋体" w:hAnsi="宋体" w:eastAsia="宋体" w:cs="宋体"/>
                <w:i w:val="0"/>
                <w:iCs w:val="0"/>
                <w:color w:val="auto"/>
                <w:sz w:val="24"/>
                <w:szCs w:val="24"/>
                <w:highlight w:val="none"/>
                <w:u w:val="none"/>
              </w:rPr>
            </w:pPr>
          </w:p>
        </w:tc>
        <w:tc>
          <w:tcPr>
            <w:tcW w:w="2167" w:type="dxa"/>
            <w:vMerge w:val="continue"/>
            <w:tcBorders>
              <w:top w:val="nil"/>
              <w:left w:val="nil"/>
              <w:bottom w:val="single" w:color="000000" w:sz="8" w:space="0"/>
              <w:right w:val="single" w:color="000000" w:sz="8" w:space="0"/>
            </w:tcBorders>
            <w:noWrap w:val="0"/>
            <w:vAlign w:val="center"/>
          </w:tcPr>
          <w:p w14:paraId="12D65D6D">
            <w:pPr>
              <w:jc w:val="center"/>
              <w:rPr>
                <w:rFonts w:hint="eastAsia" w:ascii="宋体" w:hAnsi="宋体" w:eastAsia="宋体" w:cs="宋体"/>
                <w:i w:val="0"/>
                <w:iCs w:val="0"/>
                <w:color w:val="auto"/>
                <w:sz w:val="24"/>
                <w:szCs w:val="24"/>
                <w:highlight w:val="none"/>
                <w:u w:val="none"/>
              </w:rPr>
            </w:pPr>
          </w:p>
        </w:tc>
      </w:tr>
      <w:tr w14:paraId="444533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9" w:hRule="atLeast"/>
        </w:trPr>
        <w:tc>
          <w:tcPr>
            <w:tcW w:w="836" w:type="dxa"/>
            <w:tcBorders>
              <w:top w:val="nil"/>
              <w:left w:val="single" w:color="000000" w:sz="8" w:space="0"/>
              <w:bottom w:val="single" w:color="000000" w:sz="8" w:space="0"/>
              <w:right w:val="single" w:color="000000" w:sz="8" w:space="0"/>
            </w:tcBorders>
            <w:noWrap w:val="0"/>
            <w:vAlign w:val="center"/>
          </w:tcPr>
          <w:p w14:paraId="16B6B8D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13</w:t>
            </w:r>
          </w:p>
        </w:tc>
        <w:tc>
          <w:tcPr>
            <w:tcW w:w="3318" w:type="dxa"/>
            <w:tcBorders>
              <w:top w:val="nil"/>
              <w:left w:val="nil"/>
              <w:bottom w:val="single" w:color="000000" w:sz="8" w:space="0"/>
              <w:right w:val="single" w:color="000000" w:sz="8" w:space="0"/>
            </w:tcBorders>
            <w:noWrap w:val="0"/>
            <w:vAlign w:val="center"/>
          </w:tcPr>
          <w:p w14:paraId="33FD998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nginx前置服务器13</w:t>
            </w:r>
          </w:p>
        </w:tc>
        <w:tc>
          <w:tcPr>
            <w:tcW w:w="1758" w:type="dxa"/>
            <w:tcBorders>
              <w:top w:val="nil"/>
              <w:left w:val="nil"/>
              <w:bottom w:val="single" w:color="000000" w:sz="8" w:space="0"/>
              <w:right w:val="single" w:color="000000" w:sz="8" w:space="0"/>
            </w:tcBorders>
            <w:noWrap w:val="0"/>
            <w:vAlign w:val="center"/>
          </w:tcPr>
          <w:p w14:paraId="54067A9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w:t>
            </w:r>
          </w:p>
        </w:tc>
        <w:tc>
          <w:tcPr>
            <w:tcW w:w="1756" w:type="dxa"/>
            <w:tcBorders>
              <w:top w:val="nil"/>
              <w:left w:val="nil"/>
              <w:bottom w:val="single" w:color="000000" w:sz="8" w:space="0"/>
              <w:right w:val="single" w:color="000000" w:sz="8" w:space="0"/>
            </w:tcBorders>
            <w:noWrap w:val="0"/>
            <w:vAlign w:val="center"/>
          </w:tcPr>
          <w:p w14:paraId="779D283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32</w:t>
            </w:r>
          </w:p>
        </w:tc>
        <w:tc>
          <w:tcPr>
            <w:tcW w:w="1756" w:type="dxa"/>
            <w:tcBorders>
              <w:top w:val="nil"/>
              <w:left w:val="nil"/>
              <w:bottom w:val="single" w:color="000000" w:sz="8" w:space="0"/>
              <w:right w:val="single" w:color="000000" w:sz="8" w:space="0"/>
            </w:tcBorders>
            <w:noWrap w:val="0"/>
            <w:vAlign w:val="center"/>
          </w:tcPr>
          <w:p w14:paraId="1DDB7A1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500</w:t>
            </w:r>
          </w:p>
        </w:tc>
        <w:tc>
          <w:tcPr>
            <w:tcW w:w="2093" w:type="dxa"/>
            <w:tcBorders>
              <w:top w:val="nil"/>
              <w:left w:val="nil"/>
              <w:bottom w:val="single" w:color="000000" w:sz="8" w:space="0"/>
              <w:right w:val="single" w:color="000000" w:sz="8" w:space="0"/>
            </w:tcBorders>
            <w:noWrap w:val="0"/>
            <w:vAlign w:val="center"/>
          </w:tcPr>
          <w:p w14:paraId="04765BF1">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centos 7.7</w:t>
            </w:r>
          </w:p>
        </w:tc>
        <w:tc>
          <w:tcPr>
            <w:tcW w:w="1758" w:type="dxa"/>
            <w:tcBorders>
              <w:top w:val="nil"/>
              <w:left w:val="nil"/>
              <w:bottom w:val="single" w:color="000000" w:sz="8" w:space="0"/>
              <w:right w:val="single" w:color="000000" w:sz="8" w:space="0"/>
            </w:tcBorders>
            <w:noWrap w:val="0"/>
            <w:vAlign w:val="center"/>
          </w:tcPr>
          <w:p w14:paraId="7845DD2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nginx13</w:t>
            </w:r>
          </w:p>
        </w:tc>
        <w:tc>
          <w:tcPr>
            <w:tcW w:w="960" w:type="dxa"/>
            <w:tcBorders>
              <w:top w:val="nil"/>
              <w:left w:val="nil"/>
              <w:bottom w:val="single" w:color="000000" w:sz="8" w:space="0"/>
              <w:right w:val="single" w:color="000000" w:sz="8" w:space="0"/>
            </w:tcBorders>
            <w:noWrap w:val="0"/>
            <w:vAlign w:val="center"/>
          </w:tcPr>
          <w:p w14:paraId="0C14680D">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2370" w:type="dxa"/>
            <w:tcBorders>
              <w:top w:val="nil"/>
              <w:left w:val="nil"/>
              <w:bottom w:val="single" w:color="000000" w:sz="8" w:space="0"/>
              <w:right w:val="single" w:color="000000" w:sz="8" w:space="0"/>
            </w:tcBorders>
            <w:noWrap w:val="0"/>
            <w:vAlign w:val="center"/>
          </w:tcPr>
          <w:p w14:paraId="066EE348">
            <w:pPr>
              <w:jc w:val="right"/>
              <w:rPr>
                <w:rFonts w:hint="eastAsia" w:ascii="宋体" w:hAnsi="宋体" w:eastAsia="宋体" w:cs="宋体"/>
                <w:i w:val="0"/>
                <w:iCs w:val="0"/>
                <w:color w:val="auto"/>
                <w:sz w:val="24"/>
                <w:szCs w:val="24"/>
                <w:highlight w:val="none"/>
                <w:u w:val="none"/>
              </w:rPr>
            </w:pPr>
          </w:p>
        </w:tc>
        <w:tc>
          <w:tcPr>
            <w:tcW w:w="3779" w:type="dxa"/>
            <w:tcBorders>
              <w:top w:val="nil"/>
              <w:left w:val="nil"/>
              <w:bottom w:val="single" w:color="000000" w:sz="8" w:space="0"/>
              <w:right w:val="single" w:color="000000" w:sz="8" w:space="0"/>
            </w:tcBorders>
            <w:noWrap w:val="0"/>
            <w:vAlign w:val="center"/>
          </w:tcPr>
          <w:p w14:paraId="25585547">
            <w:pPr>
              <w:jc w:val="right"/>
              <w:rPr>
                <w:rFonts w:hint="eastAsia" w:ascii="宋体" w:hAnsi="宋体" w:eastAsia="宋体" w:cs="宋体"/>
                <w:i w:val="0"/>
                <w:iCs w:val="0"/>
                <w:color w:val="auto"/>
                <w:sz w:val="24"/>
                <w:szCs w:val="24"/>
                <w:highlight w:val="none"/>
                <w:u w:val="none"/>
              </w:rPr>
            </w:pPr>
          </w:p>
        </w:tc>
        <w:tc>
          <w:tcPr>
            <w:tcW w:w="3370" w:type="dxa"/>
            <w:tcBorders>
              <w:top w:val="nil"/>
              <w:left w:val="nil"/>
              <w:bottom w:val="single" w:color="000000" w:sz="8" w:space="0"/>
              <w:right w:val="single" w:color="000000" w:sz="8" w:space="0"/>
            </w:tcBorders>
            <w:noWrap w:val="0"/>
            <w:vAlign w:val="center"/>
          </w:tcPr>
          <w:p w14:paraId="5749347A">
            <w:pPr>
              <w:jc w:val="right"/>
              <w:rPr>
                <w:rFonts w:hint="eastAsia" w:ascii="宋体" w:hAnsi="宋体" w:eastAsia="宋体" w:cs="宋体"/>
                <w:i w:val="0"/>
                <w:iCs w:val="0"/>
                <w:color w:val="auto"/>
                <w:sz w:val="24"/>
                <w:szCs w:val="24"/>
                <w:highlight w:val="none"/>
                <w:u w:val="none"/>
              </w:rPr>
            </w:pPr>
          </w:p>
        </w:tc>
        <w:tc>
          <w:tcPr>
            <w:tcW w:w="2145" w:type="dxa"/>
            <w:tcBorders>
              <w:top w:val="nil"/>
              <w:left w:val="nil"/>
              <w:bottom w:val="single" w:color="000000" w:sz="8" w:space="0"/>
              <w:right w:val="single" w:color="000000" w:sz="8" w:space="0"/>
            </w:tcBorders>
            <w:noWrap/>
            <w:vAlign w:val="center"/>
          </w:tcPr>
          <w:p w14:paraId="0BCC1EFA">
            <w:pPr>
              <w:jc w:val="right"/>
              <w:rPr>
                <w:rFonts w:hint="eastAsia" w:ascii="宋体" w:hAnsi="宋体" w:eastAsia="宋体" w:cs="宋体"/>
                <w:i w:val="0"/>
                <w:iCs w:val="0"/>
                <w:color w:val="auto"/>
                <w:sz w:val="24"/>
                <w:szCs w:val="24"/>
                <w:highlight w:val="none"/>
                <w:u w:val="none"/>
              </w:rPr>
            </w:pPr>
          </w:p>
        </w:tc>
        <w:tc>
          <w:tcPr>
            <w:tcW w:w="2173" w:type="dxa"/>
            <w:tcBorders>
              <w:top w:val="nil"/>
              <w:left w:val="nil"/>
              <w:bottom w:val="single" w:color="000000" w:sz="8" w:space="0"/>
              <w:right w:val="single" w:color="000000" w:sz="8" w:space="0"/>
            </w:tcBorders>
            <w:noWrap w:val="0"/>
            <w:vAlign w:val="center"/>
          </w:tcPr>
          <w:p w14:paraId="18C400D8">
            <w:pPr>
              <w:jc w:val="right"/>
              <w:rPr>
                <w:rFonts w:hint="eastAsia" w:ascii="宋体" w:hAnsi="宋体" w:eastAsia="宋体" w:cs="宋体"/>
                <w:i w:val="0"/>
                <w:iCs w:val="0"/>
                <w:color w:val="auto"/>
                <w:sz w:val="24"/>
                <w:szCs w:val="24"/>
                <w:highlight w:val="none"/>
                <w:u w:val="none"/>
              </w:rPr>
            </w:pPr>
          </w:p>
        </w:tc>
        <w:tc>
          <w:tcPr>
            <w:tcW w:w="2167" w:type="dxa"/>
            <w:vMerge w:val="continue"/>
            <w:tcBorders>
              <w:top w:val="nil"/>
              <w:left w:val="nil"/>
              <w:bottom w:val="single" w:color="000000" w:sz="8" w:space="0"/>
              <w:right w:val="single" w:color="000000" w:sz="8" w:space="0"/>
            </w:tcBorders>
            <w:noWrap w:val="0"/>
            <w:vAlign w:val="center"/>
          </w:tcPr>
          <w:p w14:paraId="04D4D139">
            <w:pPr>
              <w:jc w:val="center"/>
              <w:rPr>
                <w:rFonts w:hint="eastAsia" w:ascii="宋体" w:hAnsi="宋体" w:eastAsia="宋体" w:cs="宋体"/>
                <w:i w:val="0"/>
                <w:iCs w:val="0"/>
                <w:color w:val="auto"/>
                <w:sz w:val="24"/>
                <w:szCs w:val="24"/>
                <w:highlight w:val="none"/>
                <w:u w:val="none"/>
              </w:rPr>
            </w:pPr>
          </w:p>
        </w:tc>
      </w:tr>
      <w:tr w14:paraId="71D4DA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9" w:hRule="atLeast"/>
        </w:trPr>
        <w:tc>
          <w:tcPr>
            <w:tcW w:w="836" w:type="dxa"/>
            <w:tcBorders>
              <w:top w:val="nil"/>
              <w:left w:val="single" w:color="000000" w:sz="8" w:space="0"/>
              <w:bottom w:val="single" w:color="000000" w:sz="8" w:space="0"/>
              <w:right w:val="single" w:color="000000" w:sz="8" w:space="0"/>
            </w:tcBorders>
            <w:noWrap w:val="0"/>
            <w:vAlign w:val="center"/>
          </w:tcPr>
          <w:p w14:paraId="1CACBBF6">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14</w:t>
            </w:r>
          </w:p>
        </w:tc>
        <w:tc>
          <w:tcPr>
            <w:tcW w:w="3318" w:type="dxa"/>
            <w:tcBorders>
              <w:top w:val="nil"/>
              <w:left w:val="nil"/>
              <w:bottom w:val="single" w:color="000000" w:sz="8" w:space="0"/>
              <w:right w:val="single" w:color="000000" w:sz="8" w:space="0"/>
            </w:tcBorders>
            <w:noWrap w:val="0"/>
            <w:vAlign w:val="center"/>
          </w:tcPr>
          <w:p w14:paraId="7129086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nginx前置服务器14</w:t>
            </w:r>
          </w:p>
        </w:tc>
        <w:tc>
          <w:tcPr>
            <w:tcW w:w="1758" w:type="dxa"/>
            <w:tcBorders>
              <w:top w:val="nil"/>
              <w:left w:val="nil"/>
              <w:bottom w:val="single" w:color="000000" w:sz="8" w:space="0"/>
              <w:right w:val="single" w:color="000000" w:sz="8" w:space="0"/>
            </w:tcBorders>
            <w:noWrap w:val="0"/>
            <w:vAlign w:val="center"/>
          </w:tcPr>
          <w:p w14:paraId="5FE147B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w:t>
            </w:r>
          </w:p>
        </w:tc>
        <w:tc>
          <w:tcPr>
            <w:tcW w:w="1756" w:type="dxa"/>
            <w:tcBorders>
              <w:top w:val="nil"/>
              <w:left w:val="nil"/>
              <w:bottom w:val="single" w:color="000000" w:sz="8" w:space="0"/>
              <w:right w:val="single" w:color="000000" w:sz="8" w:space="0"/>
            </w:tcBorders>
            <w:noWrap w:val="0"/>
            <w:vAlign w:val="center"/>
          </w:tcPr>
          <w:p w14:paraId="583EC21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32</w:t>
            </w:r>
          </w:p>
        </w:tc>
        <w:tc>
          <w:tcPr>
            <w:tcW w:w="1756" w:type="dxa"/>
            <w:tcBorders>
              <w:top w:val="nil"/>
              <w:left w:val="nil"/>
              <w:bottom w:val="single" w:color="000000" w:sz="8" w:space="0"/>
              <w:right w:val="single" w:color="000000" w:sz="8" w:space="0"/>
            </w:tcBorders>
            <w:noWrap w:val="0"/>
            <w:vAlign w:val="center"/>
          </w:tcPr>
          <w:p w14:paraId="5BCA274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500</w:t>
            </w:r>
          </w:p>
        </w:tc>
        <w:tc>
          <w:tcPr>
            <w:tcW w:w="2093" w:type="dxa"/>
            <w:tcBorders>
              <w:top w:val="nil"/>
              <w:left w:val="nil"/>
              <w:bottom w:val="single" w:color="000000" w:sz="8" w:space="0"/>
              <w:right w:val="single" w:color="000000" w:sz="8" w:space="0"/>
            </w:tcBorders>
            <w:noWrap w:val="0"/>
            <w:vAlign w:val="center"/>
          </w:tcPr>
          <w:p w14:paraId="2247E0C8">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centos 7.7</w:t>
            </w:r>
          </w:p>
        </w:tc>
        <w:tc>
          <w:tcPr>
            <w:tcW w:w="1758" w:type="dxa"/>
            <w:tcBorders>
              <w:top w:val="nil"/>
              <w:left w:val="nil"/>
              <w:bottom w:val="single" w:color="000000" w:sz="8" w:space="0"/>
              <w:right w:val="single" w:color="000000" w:sz="8" w:space="0"/>
            </w:tcBorders>
            <w:noWrap w:val="0"/>
            <w:vAlign w:val="center"/>
          </w:tcPr>
          <w:p w14:paraId="5886389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nginx14</w:t>
            </w:r>
          </w:p>
        </w:tc>
        <w:tc>
          <w:tcPr>
            <w:tcW w:w="960" w:type="dxa"/>
            <w:tcBorders>
              <w:top w:val="nil"/>
              <w:left w:val="nil"/>
              <w:bottom w:val="single" w:color="000000" w:sz="8" w:space="0"/>
              <w:right w:val="single" w:color="000000" w:sz="8" w:space="0"/>
            </w:tcBorders>
            <w:noWrap w:val="0"/>
            <w:vAlign w:val="center"/>
          </w:tcPr>
          <w:p w14:paraId="1C46B36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2370" w:type="dxa"/>
            <w:tcBorders>
              <w:top w:val="nil"/>
              <w:left w:val="nil"/>
              <w:bottom w:val="single" w:color="000000" w:sz="8" w:space="0"/>
              <w:right w:val="single" w:color="000000" w:sz="8" w:space="0"/>
            </w:tcBorders>
            <w:noWrap w:val="0"/>
            <w:vAlign w:val="center"/>
          </w:tcPr>
          <w:p w14:paraId="6BC262C9">
            <w:pPr>
              <w:jc w:val="right"/>
              <w:rPr>
                <w:rFonts w:hint="eastAsia" w:ascii="宋体" w:hAnsi="宋体" w:eastAsia="宋体" w:cs="宋体"/>
                <w:i w:val="0"/>
                <w:iCs w:val="0"/>
                <w:color w:val="auto"/>
                <w:sz w:val="24"/>
                <w:szCs w:val="24"/>
                <w:highlight w:val="none"/>
                <w:u w:val="none"/>
              </w:rPr>
            </w:pPr>
          </w:p>
        </w:tc>
        <w:tc>
          <w:tcPr>
            <w:tcW w:w="3779" w:type="dxa"/>
            <w:tcBorders>
              <w:top w:val="nil"/>
              <w:left w:val="nil"/>
              <w:bottom w:val="single" w:color="000000" w:sz="8" w:space="0"/>
              <w:right w:val="single" w:color="000000" w:sz="8" w:space="0"/>
            </w:tcBorders>
            <w:noWrap w:val="0"/>
            <w:vAlign w:val="center"/>
          </w:tcPr>
          <w:p w14:paraId="41A258BE">
            <w:pPr>
              <w:jc w:val="right"/>
              <w:rPr>
                <w:rFonts w:hint="eastAsia" w:ascii="宋体" w:hAnsi="宋体" w:eastAsia="宋体" w:cs="宋体"/>
                <w:i w:val="0"/>
                <w:iCs w:val="0"/>
                <w:color w:val="auto"/>
                <w:sz w:val="24"/>
                <w:szCs w:val="24"/>
                <w:highlight w:val="none"/>
                <w:u w:val="none"/>
              </w:rPr>
            </w:pPr>
          </w:p>
        </w:tc>
        <w:tc>
          <w:tcPr>
            <w:tcW w:w="3370" w:type="dxa"/>
            <w:tcBorders>
              <w:top w:val="nil"/>
              <w:left w:val="nil"/>
              <w:bottom w:val="single" w:color="000000" w:sz="8" w:space="0"/>
              <w:right w:val="single" w:color="000000" w:sz="8" w:space="0"/>
            </w:tcBorders>
            <w:noWrap w:val="0"/>
            <w:vAlign w:val="center"/>
          </w:tcPr>
          <w:p w14:paraId="6437D9D2">
            <w:pPr>
              <w:jc w:val="right"/>
              <w:rPr>
                <w:rFonts w:hint="eastAsia" w:ascii="宋体" w:hAnsi="宋体" w:eastAsia="宋体" w:cs="宋体"/>
                <w:i w:val="0"/>
                <w:iCs w:val="0"/>
                <w:color w:val="auto"/>
                <w:sz w:val="24"/>
                <w:szCs w:val="24"/>
                <w:highlight w:val="none"/>
                <w:u w:val="none"/>
              </w:rPr>
            </w:pPr>
          </w:p>
        </w:tc>
        <w:tc>
          <w:tcPr>
            <w:tcW w:w="2145" w:type="dxa"/>
            <w:tcBorders>
              <w:top w:val="nil"/>
              <w:left w:val="nil"/>
              <w:bottom w:val="single" w:color="000000" w:sz="8" w:space="0"/>
              <w:right w:val="single" w:color="000000" w:sz="8" w:space="0"/>
            </w:tcBorders>
            <w:noWrap/>
            <w:vAlign w:val="center"/>
          </w:tcPr>
          <w:p w14:paraId="56AF1F0C">
            <w:pPr>
              <w:jc w:val="right"/>
              <w:rPr>
                <w:rFonts w:hint="eastAsia" w:ascii="宋体" w:hAnsi="宋体" w:eastAsia="宋体" w:cs="宋体"/>
                <w:i w:val="0"/>
                <w:iCs w:val="0"/>
                <w:color w:val="auto"/>
                <w:sz w:val="24"/>
                <w:szCs w:val="24"/>
                <w:highlight w:val="none"/>
                <w:u w:val="none"/>
              </w:rPr>
            </w:pPr>
          </w:p>
        </w:tc>
        <w:tc>
          <w:tcPr>
            <w:tcW w:w="2173" w:type="dxa"/>
            <w:tcBorders>
              <w:top w:val="nil"/>
              <w:left w:val="nil"/>
              <w:bottom w:val="single" w:color="000000" w:sz="8" w:space="0"/>
              <w:right w:val="single" w:color="000000" w:sz="8" w:space="0"/>
            </w:tcBorders>
            <w:noWrap w:val="0"/>
            <w:vAlign w:val="center"/>
          </w:tcPr>
          <w:p w14:paraId="60719F33">
            <w:pPr>
              <w:jc w:val="right"/>
              <w:rPr>
                <w:rFonts w:hint="eastAsia" w:ascii="宋体" w:hAnsi="宋体" w:eastAsia="宋体" w:cs="宋体"/>
                <w:i w:val="0"/>
                <w:iCs w:val="0"/>
                <w:color w:val="auto"/>
                <w:sz w:val="24"/>
                <w:szCs w:val="24"/>
                <w:highlight w:val="none"/>
                <w:u w:val="none"/>
              </w:rPr>
            </w:pPr>
          </w:p>
        </w:tc>
        <w:tc>
          <w:tcPr>
            <w:tcW w:w="2167" w:type="dxa"/>
            <w:vMerge w:val="continue"/>
            <w:tcBorders>
              <w:top w:val="nil"/>
              <w:left w:val="nil"/>
              <w:bottom w:val="single" w:color="000000" w:sz="8" w:space="0"/>
              <w:right w:val="single" w:color="000000" w:sz="8" w:space="0"/>
            </w:tcBorders>
            <w:noWrap w:val="0"/>
            <w:vAlign w:val="center"/>
          </w:tcPr>
          <w:p w14:paraId="6636C05F">
            <w:pPr>
              <w:jc w:val="center"/>
              <w:rPr>
                <w:rFonts w:hint="eastAsia" w:ascii="宋体" w:hAnsi="宋体" w:eastAsia="宋体" w:cs="宋体"/>
                <w:i w:val="0"/>
                <w:iCs w:val="0"/>
                <w:color w:val="auto"/>
                <w:sz w:val="24"/>
                <w:szCs w:val="24"/>
                <w:highlight w:val="none"/>
                <w:u w:val="none"/>
              </w:rPr>
            </w:pPr>
          </w:p>
        </w:tc>
      </w:tr>
      <w:tr w14:paraId="020D42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9" w:hRule="atLeast"/>
        </w:trPr>
        <w:tc>
          <w:tcPr>
            <w:tcW w:w="836" w:type="dxa"/>
            <w:tcBorders>
              <w:top w:val="nil"/>
              <w:left w:val="single" w:color="000000" w:sz="8" w:space="0"/>
              <w:bottom w:val="single" w:color="000000" w:sz="8" w:space="0"/>
              <w:right w:val="single" w:color="000000" w:sz="8" w:space="0"/>
            </w:tcBorders>
            <w:noWrap w:val="0"/>
            <w:vAlign w:val="center"/>
          </w:tcPr>
          <w:p w14:paraId="08DC445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15</w:t>
            </w:r>
          </w:p>
        </w:tc>
        <w:tc>
          <w:tcPr>
            <w:tcW w:w="3318" w:type="dxa"/>
            <w:tcBorders>
              <w:top w:val="nil"/>
              <w:left w:val="nil"/>
              <w:bottom w:val="single" w:color="000000" w:sz="8" w:space="0"/>
              <w:right w:val="single" w:color="000000" w:sz="8" w:space="0"/>
            </w:tcBorders>
            <w:noWrap w:val="0"/>
            <w:vAlign w:val="center"/>
          </w:tcPr>
          <w:p w14:paraId="6C59AA1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nginx前置服务器15</w:t>
            </w:r>
          </w:p>
        </w:tc>
        <w:tc>
          <w:tcPr>
            <w:tcW w:w="1758" w:type="dxa"/>
            <w:tcBorders>
              <w:top w:val="nil"/>
              <w:left w:val="nil"/>
              <w:bottom w:val="single" w:color="000000" w:sz="8" w:space="0"/>
              <w:right w:val="single" w:color="000000" w:sz="8" w:space="0"/>
            </w:tcBorders>
            <w:noWrap w:val="0"/>
            <w:vAlign w:val="center"/>
          </w:tcPr>
          <w:p w14:paraId="7BC9C32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w:t>
            </w:r>
          </w:p>
        </w:tc>
        <w:tc>
          <w:tcPr>
            <w:tcW w:w="1756" w:type="dxa"/>
            <w:tcBorders>
              <w:top w:val="nil"/>
              <w:left w:val="nil"/>
              <w:bottom w:val="single" w:color="000000" w:sz="8" w:space="0"/>
              <w:right w:val="single" w:color="000000" w:sz="8" w:space="0"/>
            </w:tcBorders>
            <w:noWrap w:val="0"/>
            <w:vAlign w:val="center"/>
          </w:tcPr>
          <w:p w14:paraId="6BF098D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32</w:t>
            </w:r>
          </w:p>
        </w:tc>
        <w:tc>
          <w:tcPr>
            <w:tcW w:w="1756" w:type="dxa"/>
            <w:tcBorders>
              <w:top w:val="nil"/>
              <w:left w:val="nil"/>
              <w:bottom w:val="single" w:color="000000" w:sz="8" w:space="0"/>
              <w:right w:val="single" w:color="000000" w:sz="8" w:space="0"/>
            </w:tcBorders>
            <w:noWrap w:val="0"/>
            <w:vAlign w:val="center"/>
          </w:tcPr>
          <w:p w14:paraId="616B4F2C">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500</w:t>
            </w:r>
          </w:p>
        </w:tc>
        <w:tc>
          <w:tcPr>
            <w:tcW w:w="2093" w:type="dxa"/>
            <w:tcBorders>
              <w:top w:val="nil"/>
              <w:left w:val="nil"/>
              <w:bottom w:val="single" w:color="000000" w:sz="8" w:space="0"/>
              <w:right w:val="single" w:color="000000" w:sz="8" w:space="0"/>
            </w:tcBorders>
            <w:noWrap w:val="0"/>
            <w:vAlign w:val="center"/>
          </w:tcPr>
          <w:p w14:paraId="25E7CBF3">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centos 7.7</w:t>
            </w:r>
          </w:p>
        </w:tc>
        <w:tc>
          <w:tcPr>
            <w:tcW w:w="1758" w:type="dxa"/>
            <w:tcBorders>
              <w:top w:val="nil"/>
              <w:left w:val="nil"/>
              <w:bottom w:val="single" w:color="000000" w:sz="8" w:space="0"/>
              <w:right w:val="single" w:color="000000" w:sz="8" w:space="0"/>
            </w:tcBorders>
            <w:noWrap w:val="0"/>
            <w:vAlign w:val="center"/>
          </w:tcPr>
          <w:p w14:paraId="56F4473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nginx15</w:t>
            </w:r>
          </w:p>
        </w:tc>
        <w:tc>
          <w:tcPr>
            <w:tcW w:w="960" w:type="dxa"/>
            <w:tcBorders>
              <w:top w:val="nil"/>
              <w:left w:val="nil"/>
              <w:bottom w:val="single" w:color="000000" w:sz="8" w:space="0"/>
              <w:right w:val="single" w:color="000000" w:sz="8" w:space="0"/>
            </w:tcBorders>
            <w:noWrap w:val="0"/>
            <w:vAlign w:val="center"/>
          </w:tcPr>
          <w:p w14:paraId="7B2ADB8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2370" w:type="dxa"/>
            <w:tcBorders>
              <w:top w:val="nil"/>
              <w:left w:val="nil"/>
              <w:bottom w:val="single" w:color="000000" w:sz="8" w:space="0"/>
              <w:right w:val="single" w:color="000000" w:sz="8" w:space="0"/>
            </w:tcBorders>
            <w:noWrap w:val="0"/>
            <w:vAlign w:val="center"/>
          </w:tcPr>
          <w:p w14:paraId="02A038FB">
            <w:pPr>
              <w:jc w:val="right"/>
              <w:rPr>
                <w:rFonts w:hint="eastAsia" w:ascii="宋体" w:hAnsi="宋体" w:eastAsia="宋体" w:cs="宋体"/>
                <w:i w:val="0"/>
                <w:iCs w:val="0"/>
                <w:color w:val="auto"/>
                <w:sz w:val="24"/>
                <w:szCs w:val="24"/>
                <w:highlight w:val="none"/>
                <w:u w:val="none"/>
              </w:rPr>
            </w:pPr>
          </w:p>
        </w:tc>
        <w:tc>
          <w:tcPr>
            <w:tcW w:w="3779" w:type="dxa"/>
            <w:tcBorders>
              <w:top w:val="nil"/>
              <w:left w:val="nil"/>
              <w:bottom w:val="single" w:color="000000" w:sz="8" w:space="0"/>
              <w:right w:val="single" w:color="000000" w:sz="8" w:space="0"/>
            </w:tcBorders>
            <w:noWrap w:val="0"/>
            <w:vAlign w:val="center"/>
          </w:tcPr>
          <w:p w14:paraId="02219A72">
            <w:pPr>
              <w:jc w:val="right"/>
              <w:rPr>
                <w:rFonts w:hint="eastAsia" w:ascii="宋体" w:hAnsi="宋体" w:eastAsia="宋体" w:cs="宋体"/>
                <w:i w:val="0"/>
                <w:iCs w:val="0"/>
                <w:color w:val="auto"/>
                <w:sz w:val="24"/>
                <w:szCs w:val="24"/>
                <w:highlight w:val="none"/>
                <w:u w:val="none"/>
              </w:rPr>
            </w:pPr>
          </w:p>
        </w:tc>
        <w:tc>
          <w:tcPr>
            <w:tcW w:w="3370" w:type="dxa"/>
            <w:tcBorders>
              <w:top w:val="nil"/>
              <w:left w:val="nil"/>
              <w:bottom w:val="single" w:color="000000" w:sz="8" w:space="0"/>
              <w:right w:val="single" w:color="000000" w:sz="8" w:space="0"/>
            </w:tcBorders>
            <w:noWrap w:val="0"/>
            <w:vAlign w:val="center"/>
          </w:tcPr>
          <w:p w14:paraId="7625AB08">
            <w:pPr>
              <w:jc w:val="right"/>
              <w:rPr>
                <w:rFonts w:hint="eastAsia" w:ascii="宋体" w:hAnsi="宋体" w:eastAsia="宋体" w:cs="宋体"/>
                <w:i w:val="0"/>
                <w:iCs w:val="0"/>
                <w:color w:val="auto"/>
                <w:sz w:val="24"/>
                <w:szCs w:val="24"/>
                <w:highlight w:val="none"/>
                <w:u w:val="none"/>
              </w:rPr>
            </w:pPr>
          </w:p>
        </w:tc>
        <w:tc>
          <w:tcPr>
            <w:tcW w:w="2145" w:type="dxa"/>
            <w:tcBorders>
              <w:top w:val="nil"/>
              <w:left w:val="nil"/>
              <w:bottom w:val="single" w:color="000000" w:sz="8" w:space="0"/>
              <w:right w:val="single" w:color="000000" w:sz="8" w:space="0"/>
            </w:tcBorders>
            <w:noWrap/>
            <w:vAlign w:val="center"/>
          </w:tcPr>
          <w:p w14:paraId="42746B22">
            <w:pPr>
              <w:jc w:val="right"/>
              <w:rPr>
                <w:rFonts w:hint="eastAsia" w:ascii="宋体" w:hAnsi="宋体" w:eastAsia="宋体" w:cs="宋体"/>
                <w:i w:val="0"/>
                <w:iCs w:val="0"/>
                <w:color w:val="auto"/>
                <w:sz w:val="24"/>
                <w:szCs w:val="24"/>
                <w:highlight w:val="none"/>
                <w:u w:val="none"/>
              </w:rPr>
            </w:pPr>
          </w:p>
        </w:tc>
        <w:tc>
          <w:tcPr>
            <w:tcW w:w="2173" w:type="dxa"/>
            <w:tcBorders>
              <w:top w:val="nil"/>
              <w:left w:val="nil"/>
              <w:bottom w:val="single" w:color="000000" w:sz="8" w:space="0"/>
              <w:right w:val="single" w:color="000000" w:sz="8" w:space="0"/>
            </w:tcBorders>
            <w:noWrap w:val="0"/>
            <w:vAlign w:val="center"/>
          </w:tcPr>
          <w:p w14:paraId="01947C05">
            <w:pPr>
              <w:jc w:val="right"/>
              <w:rPr>
                <w:rFonts w:hint="eastAsia" w:ascii="宋体" w:hAnsi="宋体" w:eastAsia="宋体" w:cs="宋体"/>
                <w:i w:val="0"/>
                <w:iCs w:val="0"/>
                <w:color w:val="auto"/>
                <w:sz w:val="24"/>
                <w:szCs w:val="24"/>
                <w:highlight w:val="none"/>
                <w:u w:val="none"/>
              </w:rPr>
            </w:pPr>
          </w:p>
        </w:tc>
        <w:tc>
          <w:tcPr>
            <w:tcW w:w="2167" w:type="dxa"/>
            <w:vMerge w:val="continue"/>
            <w:tcBorders>
              <w:top w:val="nil"/>
              <w:left w:val="nil"/>
              <w:bottom w:val="single" w:color="000000" w:sz="8" w:space="0"/>
              <w:right w:val="single" w:color="000000" w:sz="8" w:space="0"/>
            </w:tcBorders>
            <w:noWrap w:val="0"/>
            <w:vAlign w:val="center"/>
          </w:tcPr>
          <w:p w14:paraId="73806E76">
            <w:pPr>
              <w:jc w:val="center"/>
              <w:rPr>
                <w:rFonts w:hint="eastAsia" w:ascii="宋体" w:hAnsi="宋体" w:eastAsia="宋体" w:cs="宋体"/>
                <w:i w:val="0"/>
                <w:iCs w:val="0"/>
                <w:color w:val="auto"/>
                <w:sz w:val="24"/>
                <w:szCs w:val="24"/>
                <w:highlight w:val="none"/>
                <w:u w:val="none"/>
              </w:rPr>
            </w:pPr>
          </w:p>
        </w:tc>
      </w:tr>
      <w:tr w14:paraId="767A4E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9" w:hRule="atLeast"/>
        </w:trPr>
        <w:tc>
          <w:tcPr>
            <w:tcW w:w="836" w:type="dxa"/>
            <w:tcBorders>
              <w:top w:val="nil"/>
              <w:left w:val="single" w:color="000000" w:sz="8" w:space="0"/>
              <w:bottom w:val="single" w:color="000000" w:sz="8" w:space="0"/>
              <w:right w:val="single" w:color="000000" w:sz="8" w:space="0"/>
            </w:tcBorders>
            <w:noWrap w:val="0"/>
            <w:vAlign w:val="center"/>
          </w:tcPr>
          <w:p w14:paraId="3612BB4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w:t>
            </w:r>
          </w:p>
        </w:tc>
        <w:tc>
          <w:tcPr>
            <w:tcW w:w="3318" w:type="dxa"/>
            <w:tcBorders>
              <w:top w:val="nil"/>
              <w:left w:val="nil"/>
              <w:bottom w:val="single" w:color="000000" w:sz="8" w:space="0"/>
              <w:right w:val="single" w:color="000000" w:sz="8" w:space="0"/>
            </w:tcBorders>
            <w:noWrap w:val="0"/>
            <w:vAlign w:val="center"/>
          </w:tcPr>
          <w:p w14:paraId="0E49E28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nginx前置服务器16</w:t>
            </w:r>
          </w:p>
        </w:tc>
        <w:tc>
          <w:tcPr>
            <w:tcW w:w="1758" w:type="dxa"/>
            <w:tcBorders>
              <w:top w:val="nil"/>
              <w:left w:val="nil"/>
              <w:bottom w:val="single" w:color="000000" w:sz="8" w:space="0"/>
              <w:right w:val="single" w:color="000000" w:sz="8" w:space="0"/>
            </w:tcBorders>
            <w:noWrap w:val="0"/>
            <w:vAlign w:val="center"/>
          </w:tcPr>
          <w:p w14:paraId="2D34DF1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w:t>
            </w:r>
          </w:p>
        </w:tc>
        <w:tc>
          <w:tcPr>
            <w:tcW w:w="1756" w:type="dxa"/>
            <w:tcBorders>
              <w:top w:val="nil"/>
              <w:left w:val="nil"/>
              <w:bottom w:val="single" w:color="000000" w:sz="8" w:space="0"/>
              <w:right w:val="single" w:color="000000" w:sz="8" w:space="0"/>
            </w:tcBorders>
            <w:noWrap w:val="0"/>
            <w:vAlign w:val="center"/>
          </w:tcPr>
          <w:p w14:paraId="63BB76D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32</w:t>
            </w:r>
          </w:p>
        </w:tc>
        <w:tc>
          <w:tcPr>
            <w:tcW w:w="1756" w:type="dxa"/>
            <w:tcBorders>
              <w:top w:val="nil"/>
              <w:left w:val="nil"/>
              <w:bottom w:val="single" w:color="000000" w:sz="8" w:space="0"/>
              <w:right w:val="single" w:color="000000" w:sz="8" w:space="0"/>
            </w:tcBorders>
            <w:noWrap w:val="0"/>
            <w:vAlign w:val="center"/>
          </w:tcPr>
          <w:p w14:paraId="339812C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500</w:t>
            </w:r>
          </w:p>
        </w:tc>
        <w:tc>
          <w:tcPr>
            <w:tcW w:w="2093" w:type="dxa"/>
            <w:tcBorders>
              <w:top w:val="nil"/>
              <w:left w:val="nil"/>
              <w:bottom w:val="single" w:color="000000" w:sz="8" w:space="0"/>
              <w:right w:val="single" w:color="000000" w:sz="8" w:space="0"/>
            </w:tcBorders>
            <w:noWrap w:val="0"/>
            <w:vAlign w:val="center"/>
          </w:tcPr>
          <w:p w14:paraId="615903BA">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centos 7.7</w:t>
            </w:r>
          </w:p>
        </w:tc>
        <w:tc>
          <w:tcPr>
            <w:tcW w:w="1758" w:type="dxa"/>
            <w:tcBorders>
              <w:top w:val="nil"/>
              <w:left w:val="nil"/>
              <w:bottom w:val="single" w:color="000000" w:sz="8" w:space="0"/>
              <w:right w:val="single" w:color="000000" w:sz="8" w:space="0"/>
            </w:tcBorders>
            <w:noWrap w:val="0"/>
            <w:vAlign w:val="center"/>
          </w:tcPr>
          <w:p w14:paraId="2B24F2B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nginx16</w:t>
            </w:r>
          </w:p>
        </w:tc>
        <w:tc>
          <w:tcPr>
            <w:tcW w:w="960" w:type="dxa"/>
            <w:tcBorders>
              <w:top w:val="nil"/>
              <w:left w:val="nil"/>
              <w:bottom w:val="single" w:color="000000" w:sz="8" w:space="0"/>
              <w:right w:val="single" w:color="000000" w:sz="8" w:space="0"/>
            </w:tcBorders>
            <w:noWrap w:val="0"/>
            <w:vAlign w:val="center"/>
          </w:tcPr>
          <w:p w14:paraId="5DF1FFEA">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2370" w:type="dxa"/>
            <w:tcBorders>
              <w:top w:val="nil"/>
              <w:left w:val="nil"/>
              <w:bottom w:val="single" w:color="000000" w:sz="8" w:space="0"/>
              <w:right w:val="single" w:color="000000" w:sz="8" w:space="0"/>
            </w:tcBorders>
            <w:noWrap w:val="0"/>
            <w:vAlign w:val="center"/>
          </w:tcPr>
          <w:p w14:paraId="1C24FB74">
            <w:pPr>
              <w:jc w:val="right"/>
              <w:rPr>
                <w:rFonts w:hint="eastAsia" w:ascii="宋体" w:hAnsi="宋体" w:eastAsia="宋体" w:cs="宋体"/>
                <w:i w:val="0"/>
                <w:iCs w:val="0"/>
                <w:color w:val="auto"/>
                <w:sz w:val="24"/>
                <w:szCs w:val="24"/>
                <w:highlight w:val="none"/>
                <w:u w:val="none"/>
              </w:rPr>
            </w:pPr>
          </w:p>
        </w:tc>
        <w:tc>
          <w:tcPr>
            <w:tcW w:w="3779" w:type="dxa"/>
            <w:tcBorders>
              <w:top w:val="nil"/>
              <w:left w:val="nil"/>
              <w:bottom w:val="single" w:color="000000" w:sz="8" w:space="0"/>
              <w:right w:val="single" w:color="000000" w:sz="8" w:space="0"/>
            </w:tcBorders>
            <w:noWrap w:val="0"/>
            <w:vAlign w:val="center"/>
          </w:tcPr>
          <w:p w14:paraId="63DFC504">
            <w:pPr>
              <w:jc w:val="right"/>
              <w:rPr>
                <w:rFonts w:hint="eastAsia" w:ascii="宋体" w:hAnsi="宋体" w:eastAsia="宋体" w:cs="宋体"/>
                <w:i w:val="0"/>
                <w:iCs w:val="0"/>
                <w:color w:val="auto"/>
                <w:sz w:val="24"/>
                <w:szCs w:val="24"/>
                <w:highlight w:val="none"/>
                <w:u w:val="none"/>
              </w:rPr>
            </w:pPr>
          </w:p>
        </w:tc>
        <w:tc>
          <w:tcPr>
            <w:tcW w:w="3370" w:type="dxa"/>
            <w:tcBorders>
              <w:top w:val="nil"/>
              <w:left w:val="nil"/>
              <w:bottom w:val="single" w:color="000000" w:sz="8" w:space="0"/>
              <w:right w:val="single" w:color="000000" w:sz="8" w:space="0"/>
            </w:tcBorders>
            <w:noWrap w:val="0"/>
            <w:vAlign w:val="center"/>
          </w:tcPr>
          <w:p w14:paraId="08D87B40">
            <w:pPr>
              <w:jc w:val="right"/>
              <w:rPr>
                <w:rFonts w:hint="eastAsia" w:ascii="宋体" w:hAnsi="宋体" w:eastAsia="宋体" w:cs="宋体"/>
                <w:i w:val="0"/>
                <w:iCs w:val="0"/>
                <w:color w:val="auto"/>
                <w:sz w:val="24"/>
                <w:szCs w:val="24"/>
                <w:highlight w:val="none"/>
                <w:u w:val="none"/>
              </w:rPr>
            </w:pPr>
          </w:p>
        </w:tc>
        <w:tc>
          <w:tcPr>
            <w:tcW w:w="2145" w:type="dxa"/>
            <w:tcBorders>
              <w:top w:val="nil"/>
              <w:left w:val="nil"/>
              <w:bottom w:val="single" w:color="000000" w:sz="8" w:space="0"/>
              <w:right w:val="single" w:color="000000" w:sz="8" w:space="0"/>
            </w:tcBorders>
            <w:noWrap/>
            <w:vAlign w:val="center"/>
          </w:tcPr>
          <w:p w14:paraId="42A9E526">
            <w:pPr>
              <w:jc w:val="right"/>
              <w:rPr>
                <w:rFonts w:hint="eastAsia" w:ascii="宋体" w:hAnsi="宋体" w:eastAsia="宋体" w:cs="宋体"/>
                <w:i w:val="0"/>
                <w:iCs w:val="0"/>
                <w:color w:val="auto"/>
                <w:sz w:val="24"/>
                <w:szCs w:val="24"/>
                <w:highlight w:val="none"/>
                <w:u w:val="none"/>
              </w:rPr>
            </w:pPr>
          </w:p>
        </w:tc>
        <w:tc>
          <w:tcPr>
            <w:tcW w:w="2173" w:type="dxa"/>
            <w:tcBorders>
              <w:top w:val="nil"/>
              <w:left w:val="nil"/>
              <w:bottom w:val="single" w:color="000000" w:sz="8" w:space="0"/>
              <w:right w:val="single" w:color="000000" w:sz="8" w:space="0"/>
            </w:tcBorders>
            <w:noWrap w:val="0"/>
            <w:vAlign w:val="center"/>
          </w:tcPr>
          <w:p w14:paraId="07CBFE07">
            <w:pPr>
              <w:jc w:val="right"/>
              <w:rPr>
                <w:rFonts w:hint="eastAsia" w:ascii="宋体" w:hAnsi="宋体" w:eastAsia="宋体" w:cs="宋体"/>
                <w:i w:val="0"/>
                <w:iCs w:val="0"/>
                <w:color w:val="auto"/>
                <w:sz w:val="24"/>
                <w:szCs w:val="24"/>
                <w:highlight w:val="none"/>
                <w:u w:val="none"/>
              </w:rPr>
            </w:pPr>
          </w:p>
        </w:tc>
        <w:tc>
          <w:tcPr>
            <w:tcW w:w="2167" w:type="dxa"/>
            <w:vMerge w:val="continue"/>
            <w:tcBorders>
              <w:top w:val="nil"/>
              <w:left w:val="nil"/>
              <w:bottom w:val="single" w:color="000000" w:sz="8" w:space="0"/>
              <w:right w:val="single" w:color="000000" w:sz="8" w:space="0"/>
            </w:tcBorders>
            <w:noWrap w:val="0"/>
            <w:vAlign w:val="center"/>
          </w:tcPr>
          <w:p w14:paraId="7FCEE69F">
            <w:pPr>
              <w:jc w:val="center"/>
              <w:rPr>
                <w:rFonts w:hint="eastAsia" w:ascii="宋体" w:hAnsi="宋体" w:eastAsia="宋体" w:cs="宋体"/>
                <w:i w:val="0"/>
                <w:iCs w:val="0"/>
                <w:color w:val="auto"/>
                <w:sz w:val="24"/>
                <w:szCs w:val="24"/>
                <w:highlight w:val="none"/>
                <w:u w:val="none"/>
              </w:rPr>
            </w:pPr>
          </w:p>
        </w:tc>
      </w:tr>
      <w:tr w14:paraId="5FE477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9" w:hRule="atLeast"/>
        </w:trPr>
        <w:tc>
          <w:tcPr>
            <w:tcW w:w="836" w:type="dxa"/>
            <w:tcBorders>
              <w:top w:val="nil"/>
              <w:left w:val="single" w:color="000000" w:sz="8" w:space="0"/>
              <w:bottom w:val="single" w:color="000000" w:sz="8" w:space="0"/>
              <w:right w:val="single" w:color="000000" w:sz="8" w:space="0"/>
            </w:tcBorders>
            <w:noWrap w:val="0"/>
            <w:vAlign w:val="center"/>
          </w:tcPr>
          <w:p w14:paraId="08AB8A9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17</w:t>
            </w:r>
          </w:p>
        </w:tc>
        <w:tc>
          <w:tcPr>
            <w:tcW w:w="3318" w:type="dxa"/>
            <w:tcBorders>
              <w:top w:val="nil"/>
              <w:left w:val="nil"/>
              <w:bottom w:val="single" w:color="000000" w:sz="8" w:space="0"/>
              <w:right w:val="single" w:color="000000" w:sz="8" w:space="0"/>
            </w:tcBorders>
            <w:noWrap w:val="0"/>
            <w:vAlign w:val="center"/>
          </w:tcPr>
          <w:p w14:paraId="46D05744">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nginx前置服务器17</w:t>
            </w:r>
          </w:p>
        </w:tc>
        <w:tc>
          <w:tcPr>
            <w:tcW w:w="1758" w:type="dxa"/>
            <w:tcBorders>
              <w:top w:val="nil"/>
              <w:left w:val="nil"/>
              <w:bottom w:val="single" w:color="000000" w:sz="8" w:space="0"/>
              <w:right w:val="single" w:color="000000" w:sz="8" w:space="0"/>
            </w:tcBorders>
            <w:noWrap w:val="0"/>
            <w:vAlign w:val="center"/>
          </w:tcPr>
          <w:p w14:paraId="2FCEF8A9">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w:t>
            </w:r>
          </w:p>
        </w:tc>
        <w:tc>
          <w:tcPr>
            <w:tcW w:w="1756" w:type="dxa"/>
            <w:tcBorders>
              <w:top w:val="nil"/>
              <w:left w:val="nil"/>
              <w:bottom w:val="single" w:color="000000" w:sz="8" w:space="0"/>
              <w:right w:val="single" w:color="000000" w:sz="8" w:space="0"/>
            </w:tcBorders>
            <w:noWrap w:val="0"/>
            <w:vAlign w:val="center"/>
          </w:tcPr>
          <w:p w14:paraId="099229B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64</w:t>
            </w:r>
          </w:p>
        </w:tc>
        <w:tc>
          <w:tcPr>
            <w:tcW w:w="1756" w:type="dxa"/>
            <w:tcBorders>
              <w:top w:val="nil"/>
              <w:left w:val="nil"/>
              <w:bottom w:val="single" w:color="000000" w:sz="8" w:space="0"/>
              <w:right w:val="single" w:color="000000" w:sz="8" w:space="0"/>
            </w:tcBorders>
            <w:noWrap w:val="0"/>
            <w:vAlign w:val="center"/>
          </w:tcPr>
          <w:p w14:paraId="79F587D1">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500</w:t>
            </w:r>
          </w:p>
        </w:tc>
        <w:tc>
          <w:tcPr>
            <w:tcW w:w="2093" w:type="dxa"/>
            <w:tcBorders>
              <w:top w:val="nil"/>
              <w:left w:val="nil"/>
              <w:bottom w:val="single" w:color="000000" w:sz="8" w:space="0"/>
              <w:right w:val="single" w:color="000000" w:sz="8" w:space="0"/>
            </w:tcBorders>
            <w:noWrap w:val="0"/>
            <w:vAlign w:val="center"/>
          </w:tcPr>
          <w:p w14:paraId="10E06D51">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centos 7.7</w:t>
            </w:r>
          </w:p>
        </w:tc>
        <w:tc>
          <w:tcPr>
            <w:tcW w:w="1758" w:type="dxa"/>
            <w:tcBorders>
              <w:top w:val="nil"/>
              <w:left w:val="nil"/>
              <w:bottom w:val="single" w:color="000000" w:sz="8" w:space="0"/>
              <w:right w:val="single" w:color="000000" w:sz="8" w:space="0"/>
            </w:tcBorders>
            <w:noWrap w:val="0"/>
            <w:vAlign w:val="center"/>
          </w:tcPr>
          <w:p w14:paraId="2A3FA0AB">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nginx17</w:t>
            </w:r>
          </w:p>
        </w:tc>
        <w:tc>
          <w:tcPr>
            <w:tcW w:w="960" w:type="dxa"/>
            <w:tcBorders>
              <w:top w:val="nil"/>
              <w:left w:val="nil"/>
              <w:bottom w:val="single" w:color="000000" w:sz="8" w:space="0"/>
              <w:right w:val="single" w:color="000000" w:sz="8" w:space="0"/>
            </w:tcBorders>
            <w:noWrap w:val="0"/>
            <w:vAlign w:val="center"/>
          </w:tcPr>
          <w:p w14:paraId="00F3EB2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2370" w:type="dxa"/>
            <w:tcBorders>
              <w:top w:val="nil"/>
              <w:left w:val="nil"/>
              <w:bottom w:val="single" w:color="000000" w:sz="8" w:space="0"/>
              <w:right w:val="single" w:color="000000" w:sz="8" w:space="0"/>
            </w:tcBorders>
            <w:noWrap w:val="0"/>
            <w:vAlign w:val="center"/>
          </w:tcPr>
          <w:p w14:paraId="7FCC036C">
            <w:pPr>
              <w:jc w:val="right"/>
              <w:rPr>
                <w:rFonts w:hint="eastAsia" w:ascii="宋体" w:hAnsi="宋体" w:eastAsia="宋体" w:cs="宋体"/>
                <w:i w:val="0"/>
                <w:iCs w:val="0"/>
                <w:color w:val="auto"/>
                <w:sz w:val="24"/>
                <w:szCs w:val="24"/>
                <w:highlight w:val="none"/>
                <w:u w:val="none"/>
              </w:rPr>
            </w:pPr>
          </w:p>
        </w:tc>
        <w:tc>
          <w:tcPr>
            <w:tcW w:w="3779" w:type="dxa"/>
            <w:tcBorders>
              <w:top w:val="nil"/>
              <w:left w:val="nil"/>
              <w:bottom w:val="single" w:color="000000" w:sz="8" w:space="0"/>
              <w:right w:val="single" w:color="000000" w:sz="8" w:space="0"/>
            </w:tcBorders>
            <w:noWrap w:val="0"/>
            <w:vAlign w:val="center"/>
          </w:tcPr>
          <w:p w14:paraId="704E44BE">
            <w:pPr>
              <w:jc w:val="right"/>
              <w:rPr>
                <w:rFonts w:hint="eastAsia" w:ascii="宋体" w:hAnsi="宋体" w:eastAsia="宋体" w:cs="宋体"/>
                <w:i w:val="0"/>
                <w:iCs w:val="0"/>
                <w:color w:val="auto"/>
                <w:sz w:val="24"/>
                <w:szCs w:val="24"/>
                <w:highlight w:val="none"/>
                <w:u w:val="none"/>
              </w:rPr>
            </w:pPr>
          </w:p>
        </w:tc>
        <w:tc>
          <w:tcPr>
            <w:tcW w:w="3370" w:type="dxa"/>
            <w:tcBorders>
              <w:top w:val="nil"/>
              <w:left w:val="nil"/>
              <w:bottom w:val="single" w:color="000000" w:sz="8" w:space="0"/>
              <w:right w:val="single" w:color="000000" w:sz="8" w:space="0"/>
            </w:tcBorders>
            <w:noWrap w:val="0"/>
            <w:vAlign w:val="center"/>
          </w:tcPr>
          <w:p w14:paraId="1FB46C7C">
            <w:pPr>
              <w:jc w:val="right"/>
              <w:rPr>
                <w:rFonts w:hint="eastAsia" w:ascii="宋体" w:hAnsi="宋体" w:eastAsia="宋体" w:cs="宋体"/>
                <w:i w:val="0"/>
                <w:iCs w:val="0"/>
                <w:color w:val="auto"/>
                <w:sz w:val="24"/>
                <w:szCs w:val="24"/>
                <w:highlight w:val="none"/>
                <w:u w:val="none"/>
              </w:rPr>
            </w:pPr>
          </w:p>
        </w:tc>
        <w:tc>
          <w:tcPr>
            <w:tcW w:w="2145" w:type="dxa"/>
            <w:tcBorders>
              <w:top w:val="nil"/>
              <w:left w:val="nil"/>
              <w:bottom w:val="single" w:color="000000" w:sz="8" w:space="0"/>
              <w:right w:val="single" w:color="000000" w:sz="8" w:space="0"/>
            </w:tcBorders>
            <w:noWrap/>
            <w:vAlign w:val="center"/>
          </w:tcPr>
          <w:p w14:paraId="12A973FF">
            <w:pPr>
              <w:jc w:val="right"/>
              <w:rPr>
                <w:rFonts w:hint="eastAsia" w:ascii="宋体" w:hAnsi="宋体" w:eastAsia="宋体" w:cs="宋体"/>
                <w:i w:val="0"/>
                <w:iCs w:val="0"/>
                <w:color w:val="auto"/>
                <w:sz w:val="24"/>
                <w:szCs w:val="24"/>
                <w:highlight w:val="none"/>
                <w:u w:val="none"/>
              </w:rPr>
            </w:pPr>
          </w:p>
        </w:tc>
        <w:tc>
          <w:tcPr>
            <w:tcW w:w="2173" w:type="dxa"/>
            <w:tcBorders>
              <w:top w:val="nil"/>
              <w:left w:val="nil"/>
              <w:bottom w:val="single" w:color="000000" w:sz="8" w:space="0"/>
              <w:right w:val="single" w:color="000000" w:sz="8" w:space="0"/>
            </w:tcBorders>
            <w:noWrap w:val="0"/>
            <w:vAlign w:val="center"/>
          </w:tcPr>
          <w:p w14:paraId="77A1CF8D">
            <w:pPr>
              <w:jc w:val="right"/>
              <w:rPr>
                <w:rFonts w:hint="eastAsia" w:ascii="宋体" w:hAnsi="宋体" w:eastAsia="宋体" w:cs="宋体"/>
                <w:i w:val="0"/>
                <w:iCs w:val="0"/>
                <w:color w:val="auto"/>
                <w:sz w:val="24"/>
                <w:szCs w:val="24"/>
                <w:highlight w:val="none"/>
                <w:u w:val="none"/>
              </w:rPr>
            </w:pPr>
          </w:p>
        </w:tc>
        <w:tc>
          <w:tcPr>
            <w:tcW w:w="2167" w:type="dxa"/>
            <w:vMerge w:val="continue"/>
            <w:tcBorders>
              <w:top w:val="nil"/>
              <w:left w:val="nil"/>
              <w:bottom w:val="single" w:color="000000" w:sz="8" w:space="0"/>
              <w:right w:val="single" w:color="000000" w:sz="8" w:space="0"/>
            </w:tcBorders>
            <w:noWrap w:val="0"/>
            <w:vAlign w:val="center"/>
          </w:tcPr>
          <w:p w14:paraId="0250EA3A">
            <w:pPr>
              <w:jc w:val="center"/>
              <w:rPr>
                <w:rFonts w:hint="eastAsia" w:ascii="宋体" w:hAnsi="宋体" w:eastAsia="宋体" w:cs="宋体"/>
                <w:i w:val="0"/>
                <w:iCs w:val="0"/>
                <w:color w:val="auto"/>
                <w:sz w:val="24"/>
                <w:szCs w:val="24"/>
                <w:highlight w:val="none"/>
                <w:u w:val="none"/>
              </w:rPr>
            </w:pPr>
          </w:p>
        </w:tc>
      </w:tr>
      <w:tr w14:paraId="287B50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49" w:hRule="atLeast"/>
        </w:trPr>
        <w:tc>
          <w:tcPr>
            <w:tcW w:w="836" w:type="dxa"/>
            <w:tcBorders>
              <w:top w:val="nil"/>
              <w:left w:val="single" w:color="000000" w:sz="8" w:space="0"/>
              <w:bottom w:val="single" w:color="000000" w:sz="8" w:space="0"/>
              <w:right w:val="single" w:color="000000" w:sz="8" w:space="0"/>
            </w:tcBorders>
            <w:noWrap w:val="0"/>
            <w:vAlign w:val="center"/>
          </w:tcPr>
          <w:p w14:paraId="372A952F">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18</w:t>
            </w:r>
          </w:p>
        </w:tc>
        <w:tc>
          <w:tcPr>
            <w:tcW w:w="3318" w:type="dxa"/>
            <w:tcBorders>
              <w:top w:val="nil"/>
              <w:left w:val="nil"/>
              <w:bottom w:val="single" w:color="000000" w:sz="8" w:space="0"/>
              <w:right w:val="single" w:color="000000" w:sz="8" w:space="0"/>
            </w:tcBorders>
            <w:noWrap w:val="0"/>
            <w:vAlign w:val="center"/>
          </w:tcPr>
          <w:p w14:paraId="28CEC93E">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nginx前置服务器18</w:t>
            </w:r>
          </w:p>
        </w:tc>
        <w:tc>
          <w:tcPr>
            <w:tcW w:w="1758" w:type="dxa"/>
            <w:tcBorders>
              <w:top w:val="nil"/>
              <w:left w:val="nil"/>
              <w:bottom w:val="single" w:color="000000" w:sz="8" w:space="0"/>
              <w:right w:val="single" w:color="000000" w:sz="8" w:space="0"/>
            </w:tcBorders>
            <w:noWrap w:val="0"/>
            <w:vAlign w:val="center"/>
          </w:tcPr>
          <w:p w14:paraId="6C29FF22">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16</w:t>
            </w:r>
          </w:p>
        </w:tc>
        <w:tc>
          <w:tcPr>
            <w:tcW w:w="1756" w:type="dxa"/>
            <w:tcBorders>
              <w:top w:val="nil"/>
              <w:left w:val="nil"/>
              <w:bottom w:val="single" w:color="000000" w:sz="8" w:space="0"/>
              <w:right w:val="single" w:color="000000" w:sz="8" w:space="0"/>
            </w:tcBorders>
            <w:noWrap w:val="0"/>
            <w:vAlign w:val="center"/>
          </w:tcPr>
          <w:p w14:paraId="40F5DA43">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64</w:t>
            </w:r>
          </w:p>
        </w:tc>
        <w:tc>
          <w:tcPr>
            <w:tcW w:w="1756" w:type="dxa"/>
            <w:tcBorders>
              <w:top w:val="nil"/>
              <w:left w:val="nil"/>
              <w:bottom w:val="single" w:color="000000" w:sz="8" w:space="0"/>
              <w:right w:val="single" w:color="000000" w:sz="8" w:space="0"/>
            </w:tcBorders>
            <w:noWrap w:val="0"/>
            <w:vAlign w:val="center"/>
          </w:tcPr>
          <w:p w14:paraId="73A53BC5">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500</w:t>
            </w:r>
          </w:p>
        </w:tc>
        <w:tc>
          <w:tcPr>
            <w:tcW w:w="2093" w:type="dxa"/>
            <w:tcBorders>
              <w:top w:val="nil"/>
              <w:left w:val="nil"/>
              <w:bottom w:val="single" w:color="000000" w:sz="8" w:space="0"/>
              <w:right w:val="single" w:color="000000" w:sz="8" w:space="0"/>
            </w:tcBorders>
            <w:noWrap w:val="0"/>
            <w:vAlign w:val="center"/>
          </w:tcPr>
          <w:p w14:paraId="04C4B501">
            <w:pPr>
              <w:keepNext w:val="0"/>
              <w:keepLines w:val="0"/>
              <w:widowControl/>
              <w:suppressLineNumbers w:val="0"/>
              <w:jc w:val="left"/>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centos 7.7</w:t>
            </w:r>
          </w:p>
        </w:tc>
        <w:tc>
          <w:tcPr>
            <w:tcW w:w="1758" w:type="dxa"/>
            <w:tcBorders>
              <w:top w:val="nil"/>
              <w:left w:val="nil"/>
              <w:bottom w:val="single" w:color="000000" w:sz="8" w:space="0"/>
              <w:right w:val="single" w:color="000000" w:sz="8" w:space="0"/>
            </w:tcBorders>
            <w:noWrap w:val="0"/>
            <w:vAlign w:val="center"/>
          </w:tcPr>
          <w:p w14:paraId="241EA1C7">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nginx18</w:t>
            </w:r>
          </w:p>
        </w:tc>
        <w:tc>
          <w:tcPr>
            <w:tcW w:w="960" w:type="dxa"/>
            <w:tcBorders>
              <w:top w:val="nil"/>
              <w:left w:val="nil"/>
              <w:bottom w:val="single" w:color="000000" w:sz="8" w:space="0"/>
              <w:right w:val="single" w:color="000000" w:sz="8" w:space="0"/>
            </w:tcBorders>
            <w:noWrap w:val="0"/>
            <w:vAlign w:val="center"/>
          </w:tcPr>
          <w:p w14:paraId="15322308">
            <w:pPr>
              <w:keepNext w:val="0"/>
              <w:keepLines w:val="0"/>
              <w:widowControl/>
              <w:suppressLineNumbers w:val="0"/>
              <w:jc w:val="center"/>
              <w:textAlignment w:val="center"/>
              <w:rPr>
                <w:rFonts w:hint="eastAsia" w:ascii="宋体" w:hAnsi="宋体" w:eastAsia="宋体" w:cs="宋体"/>
                <w:i w:val="0"/>
                <w:iCs w:val="0"/>
                <w:color w:val="auto"/>
                <w:sz w:val="24"/>
                <w:szCs w:val="24"/>
                <w:highlight w:val="none"/>
                <w:u w:val="none"/>
              </w:rPr>
            </w:pPr>
            <w:r>
              <w:rPr>
                <w:rFonts w:hint="eastAsia" w:ascii="宋体" w:hAnsi="宋体" w:eastAsia="宋体" w:cs="宋体"/>
                <w:i w:val="0"/>
                <w:iCs w:val="0"/>
                <w:color w:val="auto"/>
                <w:kern w:val="0"/>
                <w:sz w:val="24"/>
                <w:szCs w:val="24"/>
                <w:highlight w:val="none"/>
                <w:u w:val="none"/>
                <w:lang w:val="en-US" w:eastAsia="zh-CN" w:bidi="ar"/>
              </w:rPr>
              <w:t xml:space="preserve">1 </w:t>
            </w:r>
          </w:p>
        </w:tc>
        <w:tc>
          <w:tcPr>
            <w:tcW w:w="2370" w:type="dxa"/>
            <w:tcBorders>
              <w:top w:val="nil"/>
              <w:left w:val="nil"/>
              <w:bottom w:val="single" w:color="000000" w:sz="8" w:space="0"/>
              <w:right w:val="single" w:color="000000" w:sz="8" w:space="0"/>
            </w:tcBorders>
            <w:noWrap w:val="0"/>
            <w:vAlign w:val="center"/>
          </w:tcPr>
          <w:p w14:paraId="7A8B39D5">
            <w:pPr>
              <w:jc w:val="right"/>
              <w:rPr>
                <w:rFonts w:hint="eastAsia" w:ascii="宋体" w:hAnsi="宋体" w:eastAsia="宋体" w:cs="宋体"/>
                <w:i w:val="0"/>
                <w:iCs w:val="0"/>
                <w:color w:val="auto"/>
                <w:sz w:val="24"/>
                <w:szCs w:val="24"/>
                <w:highlight w:val="none"/>
                <w:u w:val="none"/>
              </w:rPr>
            </w:pPr>
          </w:p>
        </w:tc>
        <w:tc>
          <w:tcPr>
            <w:tcW w:w="3779" w:type="dxa"/>
            <w:tcBorders>
              <w:top w:val="nil"/>
              <w:left w:val="nil"/>
              <w:bottom w:val="single" w:color="000000" w:sz="8" w:space="0"/>
              <w:right w:val="single" w:color="000000" w:sz="8" w:space="0"/>
            </w:tcBorders>
            <w:noWrap w:val="0"/>
            <w:vAlign w:val="center"/>
          </w:tcPr>
          <w:p w14:paraId="6A63BE95">
            <w:pPr>
              <w:jc w:val="right"/>
              <w:rPr>
                <w:rFonts w:hint="eastAsia" w:ascii="宋体" w:hAnsi="宋体" w:eastAsia="宋体" w:cs="宋体"/>
                <w:i w:val="0"/>
                <w:iCs w:val="0"/>
                <w:color w:val="auto"/>
                <w:sz w:val="24"/>
                <w:szCs w:val="24"/>
                <w:highlight w:val="none"/>
                <w:u w:val="none"/>
              </w:rPr>
            </w:pPr>
          </w:p>
        </w:tc>
        <w:tc>
          <w:tcPr>
            <w:tcW w:w="3370" w:type="dxa"/>
            <w:tcBorders>
              <w:top w:val="nil"/>
              <w:left w:val="nil"/>
              <w:bottom w:val="single" w:color="000000" w:sz="8" w:space="0"/>
              <w:right w:val="single" w:color="000000" w:sz="8" w:space="0"/>
            </w:tcBorders>
            <w:noWrap w:val="0"/>
            <w:vAlign w:val="center"/>
          </w:tcPr>
          <w:p w14:paraId="4F6F9F3F">
            <w:pPr>
              <w:jc w:val="right"/>
              <w:rPr>
                <w:rFonts w:hint="eastAsia" w:ascii="宋体" w:hAnsi="宋体" w:eastAsia="宋体" w:cs="宋体"/>
                <w:i w:val="0"/>
                <w:iCs w:val="0"/>
                <w:color w:val="auto"/>
                <w:sz w:val="24"/>
                <w:szCs w:val="24"/>
                <w:highlight w:val="none"/>
                <w:u w:val="none"/>
              </w:rPr>
            </w:pPr>
          </w:p>
        </w:tc>
        <w:tc>
          <w:tcPr>
            <w:tcW w:w="2145" w:type="dxa"/>
            <w:tcBorders>
              <w:top w:val="nil"/>
              <w:left w:val="nil"/>
              <w:bottom w:val="single" w:color="000000" w:sz="8" w:space="0"/>
              <w:right w:val="single" w:color="000000" w:sz="8" w:space="0"/>
            </w:tcBorders>
            <w:noWrap/>
            <w:vAlign w:val="center"/>
          </w:tcPr>
          <w:p w14:paraId="4C5F2ACA">
            <w:pPr>
              <w:jc w:val="right"/>
              <w:rPr>
                <w:rFonts w:hint="eastAsia" w:ascii="宋体" w:hAnsi="宋体" w:eastAsia="宋体" w:cs="宋体"/>
                <w:i w:val="0"/>
                <w:iCs w:val="0"/>
                <w:color w:val="auto"/>
                <w:sz w:val="24"/>
                <w:szCs w:val="24"/>
                <w:highlight w:val="none"/>
                <w:u w:val="none"/>
              </w:rPr>
            </w:pPr>
          </w:p>
        </w:tc>
        <w:tc>
          <w:tcPr>
            <w:tcW w:w="2173" w:type="dxa"/>
            <w:tcBorders>
              <w:top w:val="nil"/>
              <w:left w:val="nil"/>
              <w:bottom w:val="single" w:color="000000" w:sz="8" w:space="0"/>
              <w:right w:val="single" w:color="000000" w:sz="8" w:space="0"/>
            </w:tcBorders>
            <w:noWrap w:val="0"/>
            <w:vAlign w:val="center"/>
          </w:tcPr>
          <w:p w14:paraId="685C29F6">
            <w:pPr>
              <w:jc w:val="right"/>
              <w:rPr>
                <w:rFonts w:hint="eastAsia" w:ascii="宋体" w:hAnsi="宋体" w:eastAsia="宋体" w:cs="宋体"/>
                <w:i w:val="0"/>
                <w:iCs w:val="0"/>
                <w:color w:val="auto"/>
                <w:sz w:val="24"/>
                <w:szCs w:val="24"/>
                <w:highlight w:val="none"/>
                <w:u w:val="none"/>
              </w:rPr>
            </w:pPr>
          </w:p>
        </w:tc>
        <w:tc>
          <w:tcPr>
            <w:tcW w:w="2167" w:type="dxa"/>
            <w:vMerge w:val="continue"/>
            <w:tcBorders>
              <w:top w:val="nil"/>
              <w:left w:val="nil"/>
              <w:bottom w:val="single" w:color="000000" w:sz="8" w:space="0"/>
              <w:right w:val="single" w:color="000000" w:sz="8" w:space="0"/>
            </w:tcBorders>
            <w:noWrap w:val="0"/>
            <w:vAlign w:val="center"/>
          </w:tcPr>
          <w:p w14:paraId="62D65963">
            <w:pPr>
              <w:jc w:val="center"/>
              <w:rPr>
                <w:rFonts w:hint="eastAsia" w:ascii="宋体" w:hAnsi="宋体" w:eastAsia="宋体" w:cs="宋体"/>
                <w:i w:val="0"/>
                <w:iCs w:val="0"/>
                <w:color w:val="auto"/>
                <w:sz w:val="24"/>
                <w:szCs w:val="24"/>
                <w:highlight w:val="none"/>
                <w:u w:val="none"/>
              </w:rPr>
            </w:pPr>
          </w:p>
        </w:tc>
      </w:tr>
      <w:tr w14:paraId="1F12EF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74" w:hRule="atLeast"/>
        </w:trPr>
        <w:tc>
          <w:tcPr>
            <w:tcW w:w="836" w:type="dxa"/>
            <w:tcBorders>
              <w:top w:val="nil"/>
              <w:left w:val="single" w:color="000000" w:sz="8" w:space="0"/>
              <w:bottom w:val="single" w:color="000000" w:sz="8" w:space="0"/>
              <w:right w:val="single" w:color="000000" w:sz="8" w:space="0"/>
            </w:tcBorders>
            <w:noWrap w:val="0"/>
            <w:vAlign w:val="center"/>
          </w:tcPr>
          <w:p w14:paraId="032EC5BD">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19</w:t>
            </w:r>
          </w:p>
        </w:tc>
        <w:tc>
          <w:tcPr>
            <w:tcW w:w="13399" w:type="dxa"/>
            <w:gridSpan w:val="7"/>
            <w:tcBorders>
              <w:top w:val="nil"/>
              <w:left w:val="single" w:color="000000" w:sz="8" w:space="0"/>
              <w:bottom w:val="single" w:color="000000" w:sz="8" w:space="0"/>
              <w:right w:val="single" w:color="000000" w:sz="8" w:space="0"/>
            </w:tcBorders>
            <w:noWrap w:val="0"/>
            <w:vAlign w:val="center"/>
          </w:tcPr>
          <w:p w14:paraId="02BCE8CF">
            <w:pPr>
              <w:keepNext w:val="0"/>
              <w:keepLines w:val="0"/>
              <w:widowControl/>
              <w:suppressLineNumbers w:val="0"/>
              <w:jc w:val="center"/>
              <w:textAlignment w:val="center"/>
              <w:rPr>
                <w:rFonts w:hint="eastAsia" w:ascii="宋体" w:hAnsi="宋体" w:eastAsia="宋体" w:cs="宋体"/>
                <w:b/>
                <w:bCs/>
                <w:i w:val="0"/>
                <w:iCs w:val="0"/>
                <w:color w:val="auto"/>
                <w:sz w:val="24"/>
                <w:szCs w:val="24"/>
                <w:highlight w:val="none"/>
                <w:u w:val="none"/>
              </w:rPr>
            </w:pPr>
            <w:r>
              <w:rPr>
                <w:rFonts w:hint="eastAsia" w:ascii="宋体" w:hAnsi="宋体" w:eastAsia="宋体" w:cs="宋体"/>
                <w:b/>
                <w:bCs/>
                <w:i w:val="0"/>
                <w:iCs w:val="0"/>
                <w:color w:val="auto"/>
                <w:kern w:val="0"/>
                <w:sz w:val="24"/>
                <w:szCs w:val="24"/>
                <w:highlight w:val="none"/>
                <w:u w:val="none"/>
                <w:lang w:val="en-US" w:eastAsia="zh-CN" w:bidi="ar"/>
              </w:rPr>
              <w:t>合计：</w:t>
            </w:r>
          </w:p>
        </w:tc>
        <w:tc>
          <w:tcPr>
            <w:tcW w:w="2370" w:type="dxa"/>
            <w:tcBorders>
              <w:top w:val="nil"/>
              <w:left w:val="nil"/>
              <w:bottom w:val="single" w:color="000000" w:sz="8" w:space="0"/>
              <w:right w:val="single" w:color="000000" w:sz="8" w:space="0"/>
            </w:tcBorders>
            <w:noWrap w:val="0"/>
            <w:vAlign w:val="center"/>
          </w:tcPr>
          <w:p w14:paraId="41EB5738">
            <w:pPr>
              <w:jc w:val="right"/>
              <w:rPr>
                <w:rFonts w:hint="eastAsia" w:ascii="宋体" w:hAnsi="宋体" w:eastAsia="宋体" w:cs="宋体"/>
                <w:b/>
                <w:bCs/>
                <w:i w:val="0"/>
                <w:iCs w:val="0"/>
                <w:color w:val="auto"/>
                <w:sz w:val="24"/>
                <w:szCs w:val="24"/>
                <w:highlight w:val="none"/>
                <w:u w:val="none"/>
              </w:rPr>
            </w:pPr>
          </w:p>
        </w:tc>
        <w:tc>
          <w:tcPr>
            <w:tcW w:w="3779" w:type="dxa"/>
            <w:tcBorders>
              <w:top w:val="nil"/>
              <w:left w:val="nil"/>
              <w:bottom w:val="single" w:color="000000" w:sz="8" w:space="0"/>
              <w:right w:val="single" w:color="000000" w:sz="8" w:space="0"/>
            </w:tcBorders>
            <w:noWrap w:val="0"/>
            <w:vAlign w:val="center"/>
          </w:tcPr>
          <w:p w14:paraId="4B025009">
            <w:pPr>
              <w:jc w:val="right"/>
              <w:rPr>
                <w:rFonts w:hint="eastAsia" w:ascii="宋体" w:hAnsi="宋体" w:eastAsia="宋体" w:cs="宋体"/>
                <w:b/>
                <w:bCs/>
                <w:i w:val="0"/>
                <w:iCs w:val="0"/>
                <w:color w:val="auto"/>
                <w:sz w:val="24"/>
                <w:szCs w:val="24"/>
                <w:highlight w:val="none"/>
                <w:u w:val="none"/>
              </w:rPr>
            </w:pPr>
          </w:p>
        </w:tc>
        <w:tc>
          <w:tcPr>
            <w:tcW w:w="3370" w:type="dxa"/>
            <w:tcBorders>
              <w:top w:val="nil"/>
              <w:left w:val="nil"/>
              <w:bottom w:val="single" w:color="000000" w:sz="8" w:space="0"/>
              <w:right w:val="single" w:color="000000" w:sz="8" w:space="0"/>
            </w:tcBorders>
            <w:noWrap w:val="0"/>
            <w:vAlign w:val="center"/>
          </w:tcPr>
          <w:p w14:paraId="60C739BE">
            <w:pPr>
              <w:jc w:val="right"/>
              <w:rPr>
                <w:rFonts w:hint="eastAsia" w:ascii="宋体" w:hAnsi="宋体" w:eastAsia="宋体" w:cs="宋体"/>
                <w:b/>
                <w:bCs/>
                <w:i w:val="0"/>
                <w:iCs w:val="0"/>
                <w:color w:val="auto"/>
                <w:sz w:val="24"/>
                <w:szCs w:val="24"/>
                <w:highlight w:val="none"/>
                <w:u w:val="none"/>
              </w:rPr>
            </w:pPr>
          </w:p>
        </w:tc>
        <w:tc>
          <w:tcPr>
            <w:tcW w:w="2145" w:type="dxa"/>
            <w:tcBorders>
              <w:top w:val="single" w:color="000000" w:sz="8" w:space="0"/>
              <w:left w:val="nil"/>
              <w:bottom w:val="single" w:color="000000" w:sz="8" w:space="0"/>
              <w:right w:val="single" w:color="000000" w:sz="8" w:space="0"/>
            </w:tcBorders>
            <w:noWrap/>
            <w:vAlign w:val="center"/>
          </w:tcPr>
          <w:p w14:paraId="07AEDDC5">
            <w:pPr>
              <w:jc w:val="right"/>
              <w:rPr>
                <w:rFonts w:hint="eastAsia" w:ascii="宋体" w:hAnsi="宋体" w:eastAsia="宋体" w:cs="宋体"/>
                <w:b/>
                <w:bCs/>
                <w:i w:val="0"/>
                <w:iCs w:val="0"/>
                <w:color w:val="auto"/>
                <w:sz w:val="24"/>
                <w:szCs w:val="24"/>
                <w:highlight w:val="none"/>
                <w:u w:val="none"/>
              </w:rPr>
            </w:pPr>
          </w:p>
        </w:tc>
        <w:tc>
          <w:tcPr>
            <w:tcW w:w="2173" w:type="dxa"/>
            <w:tcBorders>
              <w:top w:val="nil"/>
              <w:left w:val="nil"/>
              <w:bottom w:val="single" w:color="000000" w:sz="8" w:space="0"/>
              <w:right w:val="single" w:color="000000" w:sz="8" w:space="0"/>
            </w:tcBorders>
            <w:noWrap w:val="0"/>
            <w:vAlign w:val="center"/>
          </w:tcPr>
          <w:p w14:paraId="721E755B">
            <w:pPr>
              <w:jc w:val="right"/>
              <w:rPr>
                <w:rFonts w:hint="eastAsia" w:ascii="宋体" w:hAnsi="宋体" w:eastAsia="宋体" w:cs="宋体"/>
                <w:b/>
                <w:bCs/>
                <w:i w:val="0"/>
                <w:iCs w:val="0"/>
                <w:color w:val="auto"/>
                <w:sz w:val="24"/>
                <w:szCs w:val="24"/>
                <w:highlight w:val="none"/>
                <w:u w:val="none"/>
              </w:rPr>
            </w:pPr>
          </w:p>
        </w:tc>
        <w:tc>
          <w:tcPr>
            <w:tcW w:w="2167" w:type="dxa"/>
            <w:tcBorders>
              <w:top w:val="nil"/>
              <w:left w:val="nil"/>
              <w:bottom w:val="single" w:color="000000" w:sz="8" w:space="0"/>
              <w:right w:val="single" w:color="000000" w:sz="8" w:space="0"/>
            </w:tcBorders>
            <w:noWrap w:val="0"/>
            <w:vAlign w:val="center"/>
          </w:tcPr>
          <w:p w14:paraId="74F9E5B4">
            <w:pPr>
              <w:jc w:val="right"/>
              <w:rPr>
                <w:rFonts w:hint="eastAsia" w:ascii="宋体" w:hAnsi="宋体" w:eastAsia="宋体" w:cs="宋体"/>
                <w:b/>
                <w:bCs/>
                <w:i w:val="0"/>
                <w:iCs w:val="0"/>
                <w:color w:val="auto"/>
                <w:sz w:val="24"/>
                <w:szCs w:val="24"/>
                <w:highlight w:val="none"/>
                <w:u w:val="none"/>
              </w:rPr>
            </w:pPr>
          </w:p>
        </w:tc>
      </w:tr>
    </w:tbl>
    <w:p w14:paraId="0465FA13">
      <w:pPr>
        <w:pStyle w:val="2"/>
        <w:rPr>
          <w:rFonts w:hint="eastAsia"/>
          <w:color w:val="auto"/>
          <w:highlight w:val="none"/>
        </w:rPr>
        <w:sectPr>
          <w:pgSz w:w="33675" w:h="23811" w:orient="landscape"/>
          <w:pgMar w:top="1304" w:right="1389" w:bottom="1304" w:left="1440" w:header="851" w:footer="992" w:gutter="0"/>
          <w:cols w:space="720" w:num="1"/>
          <w:docGrid w:linePitch="312" w:charSpace="0"/>
        </w:sectPr>
      </w:pPr>
    </w:p>
    <w:p w14:paraId="0560EC23">
      <w:pPr>
        <w:pStyle w:val="5"/>
        <w:ind w:firstLine="0"/>
        <w:rPr>
          <w:rFonts w:hint="eastAsia" w:ascii="宋体" w:hAnsi="宋体" w:eastAsia="宋体" w:cs="宋体"/>
          <w:color w:val="auto"/>
          <w:highlight w:val="none"/>
        </w:rPr>
      </w:pPr>
      <w:r>
        <w:rPr>
          <w:rFonts w:hint="eastAsia" w:ascii="宋体" w:hAnsi="宋体" w:eastAsia="宋体" w:cs="宋体"/>
          <w:color w:val="auto"/>
          <w:highlight w:val="none"/>
        </w:rPr>
        <w:t>第</w:t>
      </w:r>
      <w:bookmarkStart w:id="52" w:name="_Hlt240110027"/>
      <w:bookmarkEnd w:id="52"/>
      <w:r>
        <w:rPr>
          <w:rFonts w:hint="eastAsia" w:ascii="宋体" w:hAnsi="宋体" w:eastAsia="宋体" w:cs="宋体"/>
          <w:color w:val="auto"/>
          <w:highlight w:val="none"/>
        </w:rPr>
        <w:t>四章 评标办法</w:t>
      </w:r>
      <w:bookmarkEnd w:id="49"/>
      <w:bookmarkEnd w:id="50"/>
    </w:p>
    <w:p w14:paraId="1500DBF0">
      <w:pPr>
        <w:tabs>
          <w:tab w:val="left" w:pos="360"/>
          <w:tab w:val="left" w:pos="540"/>
          <w:tab w:val="left" w:pos="3600"/>
          <w:tab w:val="left" w:pos="3780"/>
          <w:tab w:val="left" w:pos="8460"/>
          <w:tab w:val="left" w:pos="9180"/>
        </w:tabs>
        <w:adjustRightInd w:val="0"/>
        <w:snapToGrid w:val="0"/>
        <w:spacing w:line="360" w:lineRule="auto"/>
        <w:ind w:firstLine="3313" w:firstLineChars="1375"/>
        <w:rPr>
          <w:rFonts w:hint="eastAsia" w:ascii="宋体" w:hAnsi="宋体" w:eastAsia="宋体" w:cs="宋体"/>
          <w:b/>
          <w:color w:val="auto"/>
          <w:sz w:val="24"/>
          <w:highlight w:val="none"/>
        </w:rPr>
      </w:pPr>
      <w:bookmarkStart w:id="53" w:name="_Toc10750_WPSOffice_Level2"/>
      <w:r>
        <w:rPr>
          <w:rFonts w:hint="eastAsia" w:ascii="宋体" w:hAnsi="宋体" w:eastAsia="宋体" w:cs="宋体"/>
          <w:b/>
          <w:color w:val="auto"/>
          <w:sz w:val="24"/>
          <w:highlight w:val="none"/>
        </w:rPr>
        <w:t>一．总  则</w:t>
      </w:r>
      <w:bookmarkEnd w:id="53"/>
    </w:p>
    <w:p w14:paraId="50C97F69">
      <w:pPr>
        <w:adjustRightInd w:val="0"/>
        <w:snapToGrid w:val="0"/>
        <w:spacing w:line="360" w:lineRule="auto"/>
        <w:ind w:right="-10" w:firstLine="422" w:firstLineChars="175"/>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 xml:space="preserve">第一条 </w:t>
      </w:r>
      <w:r>
        <w:rPr>
          <w:rFonts w:hint="eastAsia" w:ascii="宋体" w:hAnsi="宋体" w:eastAsia="宋体" w:cs="宋体"/>
          <w:color w:val="auto"/>
          <w:sz w:val="24"/>
          <w:highlight w:val="none"/>
        </w:rPr>
        <w:t>为了做好</w:t>
      </w:r>
      <w:r>
        <w:rPr>
          <w:rFonts w:hint="eastAsia" w:ascii="宋体" w:hAnsi="宋体" w:eastAsia="宋体" w:cs="宋体"/>
          <w:b/>
          <w:bCs/>
          <w:color w:val="auto"/>
          <w:sz w:val="24"/>
          <w:highlight w:val="none"/>
        </w:rPr>
        <w:t>本项目（</w:t>
      </w:r>
      <w:r>
        <w:rPr>
          <w:rFonts w:hint="eastAsia" w:ascii="宋体" w:hAnsi="宋体" w:eastAsia="宋体" w:cs="宋体"/>
          <w:b/>
          <w:color w:val="auto"/>
          <w:sz w:val="24"/>
          <w:highlight w:val="none"/>
        </w:rPr>
        <w:t>项目编号:</w:t>
      </w:r>
      <w:r>
        <w:rPr>
          <w:rFonts w:hint="eastAsia" w:ascii="宋体" w:hAnsi="宋体" w:eastAsia="宋体" w:cs="宋体"/>
          <w:b/>
          <w:color w:val="auto"/>
          <w:sz w:val="24"/>
          <w:highlight w:val="none"/>
          <w:lang w:val="en-US" w:eastAsia="zh-CN"/>
        </w:rPr>
        <w:t xml:space="preserve"> </w:t>
      </w:r>
      <w:r>
        <w:rPr>
          <w:rFonts w:hint="eastAsia" w:ascii="宋体" w:hAnsi="宋体" w:eastAsia="宋体" w:cs="宋体"/>
          <w:color w:val="auto"/>
          <w:sz w:val="24"/>
          <w:szCs w:val="24"/>
          <w:highlight w:val="none"/>
        </w:rPr>
        <w:t xml:space="preserve"> </w:t>
      </w:r>
      <w:r>
        <w:rPr>
          <w:rFonts w:hint="eastAsia" w:ascii="宋体" w:hAnsi="宋体" w:eastAsia="宋体" w:cs="宋体"/>
          <w:b/>
          <w:color w:val="auto"/>
          <w:sz w:val="24"/>
          <w:highlight w:val="none"/>
          <w:lang w:val="en-US" w:eastAsia="zh-CN"/>
        </w:rPr>
        <w:t>鹿财公开-2025-7</w:t>
      </w:r>
      <w:r>
        <w:rPr>
          <w:rFonts w:hint="eastAsia" w:ascii="宋体" w:hAnsi="宋体" w:eastAsia="宋体" w:cs="宋体"/>
          <w:b/>
          <w:color w:val="auto"/>
          <w:sz w:val="24"/>
          <w:highlight w:val="none"/>
        </w:rPr>
        <w:t>号</w:t>
      </w:r>
      <w:r>
        <w:rPr>
          <w:rFonts w:hint="eastAsia" w:ascii="宋体" w:hAnsi="宋体" w:eastAsia="宋体" w:cs="宋体"/>
          <w:b/>
          <w:bCs/>
          <w:color w:val="auto"/>
          <w:sz w:val="24"/>
          <w:highlight w:val="none"/>
        </w:rPr>
        <w:t>）</w:t>
      </w:r>
      <w:r>
        <w:rPr>
          <w:rFonts w:hint="eastAsia" w:ascii="宋体" w:hAnsi="宋体" w:eastAsia="宋体" w:cs="宋体"/>
          <w:color w:val="auto"/>
          <w:sz w:val="24"/>
          <w:highlight w:val="none"/>
        </w:rPr>
        <w:t>的招标评标工作，保证项目评审工作的正常有序进行，维护采购人、投标人的合法权益，依据《中华人民共和国政府采购法》及其它相关法律法规，本着公开、公平、公正的原则，制定评标办法。</w:t>
      </w:r>
    </w:p>
    <w:p w14:paraId="05153BD5">
      <w:pPr>
        <w:adjustRightInd w:val="0"/>
        <w:snapToGrid w:val="0"/>
        <w:spacing w:line="360" w:lineRule="auto"/>
        <w:ind w:right="-10" w:firstLine="422" w:firstLineChars="175"/>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 xml:space="preserve">第二条 </w:t>
      </w:r>
      <w:r>
        <w:rPr>
          <w:rFonts w:hint="eastAsia" w:ascii="宋体" w:hAnsi="宋体" w:eastAsia="宋体" w:cs="宋体"/>
          <w:color w:val="auto"/>
          <w:sz w:val="24"/>
          <w:highlight w:val="none"/>
        </w:rPr>
        <w:t>本次项目评标采用</w:t>
      </w:r>
      <w:r>
        <w:rPr>
          <w:rFonts w:hint="eastAsia" w:ascii="宋体" w:hAnsi="宋体" w:eastAsia="宋体" w:cs="宋体"/>
          <w:b/>
          <w:color w:val="auto"/>
          <w:sz w:val="24"/>
          <w:highlight w:val="none"/>
        </w:rPr>
        <w:t>综合评分法</w:t>
      </w:r>
      <w:r>
        <w:rPr>
          <w:rFonts w:hint="eastAsia" w:ascii="宋体" w:hAnsi="宋体" w:eastAsia="宋体" w:cs="宋体"/>
          <w:color w:val="auto"/>
          <w:sz w:val="24"/>
          <w:highlight w:val="none"/>
        </w:rPr>
        <w:t>作为对投标人标书的比较方法。</w:t>
      </w:r>
    </w:p>
    <w:p w14:paraId="4F9610AD">
      <w:pPr>
        <w:adjustRightInd w:val="0"/>
        <w:snapToGrid w:val="0"/>
        <w:spacing w:line="360" w:lineRule="auto"/>
        <w:ind w:left="-61" w:leftChars="-29" w:right="-10"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rPr>
        <w:t xml:space="preserve">第三条 </w:t>
      </w:r>
      <w:r>
        <w:rPr>
          <w:rFonts w:hint="eastAsia" w:ascii="宋体" w:hAnsi="宋体" w:eastAsia="宋体" w:cs="宋体"/>
          <w:color w:val="auto"/>
          <w:sz w:val="24"/>
          <w:highlight w:val="none"/>
        </w:rPr>
        <w:t>按照《中华人民共和国政府采购法》及其相关规定组成评标委员会负责本项目的评审工作。评标委员会</w:t>
      </w:r>
      <w:r>
        <w:rPr>
          <w:rFonts w:hint="eastAsia" w:ascii="宋体" w:hAnsi="宋体" w:eastAsia="宋体" w:cs="宋体"/>
          <w:color w:val="auto"/>
          <w:sz w:val="24"/>
          <w:szCs w:val="22"/>
          <w:highlight w:val="none"/>
        </w:rPr>
        <w:t>在政府采购专家库中随机抽取。</w:t>
      </w:r>
    </w:p>
    <w:p w14:paraId="1F069489">
      <w:pPr>
        <w:adjustRightInd w:val="0"/>
        <w:snapToGrid w:val="0"/>
        <w:spacing w:line="360" w:lineRule="auto"/>
        <w:ind w:right="-10"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rPr>
        <w:t xml:space="preserve">第四条 </w:t>
      </w:r>
      <w:r>
        <w:rPr>
          <w:rFonts w:hint="eastAsia" w:ascii="宋体" w:hAnsi="宋体" w:eastAsia="宋体" w:cs="宋体"/>
          <w:color w:val="auto"/>
          <w:sz w:val="24"/>
          <w:highlight w:val="none"/>
        </w:rPr>
        <w:t>评委会按照“客观公正，实事求是”的原则，评价参加本次招标的投标人所提供的产品价格、性能、质量、服务及对招标文件的符合性及响应性。</w:t>
      </w:r>
    </w:p>
    <w:p w14:paraId="17DC4A4D">
      <w:pPr>
        <w:adjustRightInd w:val="0"/>
        <w:snapToGrid w:val="0"/>
        <w:spacing w:line="360" w:lineRule="auto"/>
        <w:jc w:val="center"/>
        <w:rPr>
          <w:rFonts w:hint="eastAsia" w:ascii="宋体" w:hAnsi="宋体" w:eastAsia="宋体" w:cs="宋体"/>
          <w:color w:val="auto"/>
          <w:sz w:val="24"/>
          <w:highlight w:val="none"/>
        </w:rPr>
      </w:pPr>
      <w:bookmarkStart w:id="54" w:name="_Toc31922_WPSOffice_Level2"/>
      <w:r>
        <w:rPr>
          <w:rFonts w:hint="eastAsia" w:ascii="宋体" w:hAnsi="宋体" w:eastAsia="宋体" w:cs="宋体"/>
          <w:b/>
          <w:color w:val="auto"/>
          <w:sz w:val="24"/>
          <w:highlight w:val="none"/>
        </w:rPr>
        <w:t>二．评标程序及评审细则</w:t>
      </w:r>
      <w:bookmarkEnd w:id="54"/>
    </w:p>
    <w:p w14:paraId="16BC2285">
      <w:pPr>
        <w:adjustRightInd w:val="0"/>
        <w:snapToGrid w:val="0"/>
        <w:spacing w:line="360" w:lineRule="auto"/>
        <w:ind w:right="-10" w:firstLine="422" w:firstLineChars="175"/>
        <w:rPr>
          <w:rFonts w:hint="eastAsia" w:ascii="宋体" w:hAnsi="宋体" w:eastAsia="宋体" w:cs="宋体"/>
          <w:bCs/>
          <w:color w:val="auto"/>
          <w:sz w:val="24"/>
          <w:highlight w:val="none"/>
        </w:rPr>
      </w:pPr>
      <w:r>
        <w:rPr>
          <w:rFonts w:hint="eastAsia" w:ascii="宋体" w:hAnsi="宋体" w:eastAsia="宋体" w:cs="宋体"/>
          <w:b/>
          <w:bCs/>
          <w:color w:val="auto"/>
          <w:sz w:val="24"/>
          <w:highlight w:val="none"/>
        </w:rPr>
        <w:t>第五条</w:t>
      </w:r>
      <w:r>
        <w:rPr>
          <w:rFonts w:hint="eastAsia" w:ascii="宋体" w:hAnsi="宋体" w:eastAsia="宋体" w:cs="宋体"/>
          <w:bCs/>
          <w:color w:val="auto"/>
          <w:sz w:val="24"/>
          <w:highlight w:val="none"/>
        </w:rPr>
        <w:t xml:space="preserve"> 评标工作于开标后进行。评委会应认真研究招标文件，至少应了解和熟悉以下内容：</w:t>
      </w:r>
    </w:p>
    <w:p w14:paraId="3C2810C6">
      <w:pPr>
        <w:adjustRightInd w:val="0"/>
        <w:snapToGrid w:val="0"/>
        <w:spacing w:line="360" w:lineRule="auto"/>
        <w:ind w:right="-10" w:firstLine="420" w:firstLineChars="175"/>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（一）招标的目标；</w:t>
      </w:r>
    </w:p>
    <w:p w14:paraId="3072CD36">
      <w:pPr>
        <w:adjustRightInd w:val="0"/>
        <w:snapToGrid w:val="0"/>
        <w:spacing w:line="360" w:lineRule="auto"/>
        <w:ind w:right="-10" w:firstLine="420" w:firstLineChars="175"/>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（二）招标项目的范围和性质；</w:t>
      </w:r>
    </w:p>
    <w:p w14:paraId="174AB282">
      <w:pPr>
        <w:adjustRightInd w:val="0"/>
        <w:snapToGrid w:val="0"/>
        <w:spacing w:line="360" w:lineRule="auto"/>
        <w:ind w:right="-10" w:firstLine="420" w:firstLineChars="175"/>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（三）招标文件中规定的主要技术要求、标准和商务条款；</w:t>
      </w:r>
    </w:p>
    <w:p w14:paraId="1B3CD9ED">
      <w:pPr>
        <w:adjustRightInd w:val="0"/>
        <w:snapToGrid w:val="0"/>
        <w:spacing w:line="360" w:lineRule="auto"/>
        <w:ind w:right="-10" w:firstLine="420" w:firstLineChars="175"/>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（四）招标文件规定的评标标准、评标方法和在评标过程中考虑的相关因素。</w:t>
      </w:r>
    </w:p>
    <w:p w14:paraId="67091365">
      <w:pPr>
        <w:adjustRightInd w:val="0"/>
        <w:snapToGrid w:val="0"/>
        <w:spacing w:line="360" w:lineRule="auto"/>
        <w:ind w:right="-10" w:firstLine="422" w:firstLineChars="175"/>
        <w:rPr>
          <w:rFonts w:hint="eastAsia" w:ascii="宋体" w:hAnsi="宋体" w:eastAsia="宋体" w:cs="宋体"/>
          <w:bCs/>
          <w:color w:val="auto"/>
          <w:sz w:val="24"/>
          <w:highlight w:val="none"/>
        </w:rPr>
      </w:pPr>
      <w:r>
        <w:rPr>
          <w:rFonts w:hint="eastAsia" w:ascii="宋体" w:hAnsi="宋体" w:eastAsia="宋体" w:cs="宋体"/>
          <w:b/>
          <w:bCs/>
          <w:color w:val="auto"/>
          <w:sz w:val="24"/>
          <w:highlight w:val="none"/>
        </w:rPr>
        <w:t>第六条</w:t>
      </w:r>
      <w:r>
        <w:rPr>
          <w:rFonts w:hint="eastAsia" w:ascii="宋体" w:hAnsi="宋体" w:eastAsia="宋体" w:cs="宋体"/>
          <w:bCs/>
          <w:color w:val="auto"/>
          <w:sz w:val="24"/>
          <w:highlight w:val="none"/>
        </w:rPr>
        <w:t xml:space="preserve"> 有效投标应符合以下原则：</w:t>
      </w:r>
    </w:p>
    <w:p w14:paraId="4E476162">
      <w:pPr>
        <w:adjustRightInd w:val="0"/>
        <w:snapToGrid w:val="0"/>
        <w:spacing w:line="360" w:lineRule="auto"/>
        <w:ind w:right="-10" w:firstLine="420" w:firstLineChars="175"/>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（一）满足招标文件的实质性要求；</w:t>
      </w:r>
    </w:p>
    <w:p w14:paraId="061BA9F9">
      <w:pPr>
        <w:adjustRightInd w:val="0"/>
        <w:snapToGrid w:val="0"/>
        <w:spacing w:line="360" w:lineRule="auto"/>
        <w:ind w:right="-10" w:firstLine="420" w:firstLineChars="175"/>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（二）无重大偏离、保留或采购人不能接受的附加条件；</w:t>
      </w:r>
    </w:p>
    <w:p w14:paraId="43DCF12B">
      <w:pPr>
        <w:adjustRightInd w:val="0"/>
        <w:snapToGrid w:val="0"/>
        <w:spacing w:line="360" w:lineRule="auto"/>
        <w:ind w:right="-10" w:firstLine="420" w:firstLineChars="175"/>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（三）通过投标符合性审查；</w:t>
      </w:r>
    </w:p>
    <w:p w14:paraId="14D4F206">
      <w:pPr>
        <w:adjustRightInd w:val="0"/>
        <w:snapToGrid w:val="0"/>
        <w:spacing w:line="360" w:lineRule="auto"/>
        <w:ind w:right="-10" w:firstLine="420" w:firstLineChars="175"/>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（四）评委会依据招标文件认定的其他原则；</w:t>
      </w:r>
    </w:p>
    <w:p w14:paraId="39EC6254">
      <w:pPr>
        <w:adjustRightInd w:val="0"/>
        <w:snapToGrid w:val="0"/>
        <w:spacing w:line="360" w:lineRule="auto"/>
        <w:ind w:right="-10" w:firstLine="420" w:firstLineChars="175"/>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（五）商务偏差表或技术偏差表数据不存在弄虚作假现象；</w:t>
      </w:r>
    </w:p>
    <w:p w14:paraId="731A2BC3">
      <w:pPr>
        <w:adjustRightInd w:val="0"/>
        <w:snapToGrid w:val="0"/>
        <w:spacing w:line="360" w:lineRule="auto"/>
        <w:ind w:right="-10" w:firstLine="420" w:firstLineChars="175"/>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（六）投标人报价未超过采购人的采购预算；</w:t>
      </w:r>
    </w:p>
    <w:p w14:paraId="4AB7CCD5">
      <w:pPr>
        <w:adjustRightInd w:val="0"/>
        <w:snapToGrid w:val="0"/>
        <w:spacing w:line="360" w:lineRule="auto"/>
        <w:ind w:right="-10" w:firstLine="482" w:firstLineChars="200"/>
        <w:rPr>
          <w:rFonts w:hint="eastAsia" w:ascii="宋体" w:hAnsi="宋体" w:eastAsia="宋体" w:cs="宋体"/>
          <w:bCs/>
          <w:color w:val="auto"/>
          <w:sz w:val="24"/>
          <w:szCs w:val="22"/>
          <w:highlight w:val="none"/>
        </w:rPr>
      </w:pPr>
      <w:r>
        <w:rPr>
          <w:rFonts w:hint="eastAsia" w:ascii="宋体" w:hAnsi="宋体" w:eastAsia="宋体" w:cs="宋体"/>
          <w:b/>
          <w:color w:val="auto"/>
          <w:sz w:val="24"/>
          <w:highlight w:val="none"/>
        </w:rPr>
        <w:t xml:space="preserve">第七条 </w:t>
      </w:r>
      <w:r>
        <w:rPr>
          <w:rFonts w:hint="eastAsia" w:ascii="宋体" w:hAnsi="宋体" w:eastAsia="宋体" w:cs="宋体"/>
          <w:color w:val="auto"/>
          <w:sz w:val="24"/>
          <w:highlight w:val="none"/>
        </w:rPr>
        <w:t>评委会从每个投标人的投标文件开始独立评审，对开标后投标人所提出的优惠条件不予以考虑。按</w:t>
      </w:r>
      <w:r>
        <w:rPr>
          <w:rFonts w:hint="eastAsia" w:ascii="宋体" w:hAnsi="宋体" w:eastAsia="宋体" w:cs="宋体"/>
          <w:bCs/>
          <w:color w:val="auto"/>
          <w:sz w:val="24"/>
          <w:szCs w:val="22"/>
          <w:highlight w:val="none"/>
        </w:rPr>
        <w:t>综合得分从高到低的顺序评出中标候选人。</w:t>
      </w:r>
    </w:p>
    <w:p w14:paraId="38481B12">
      <w:pPr>
        <w:adjustRightInd w:val="0"/>
        <w:snapToGrid w:val="0"/>
        <w:spacing w:line="360" w:lineRule="auto"/>
        <w:ind w:right="-10"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rPr>
        <w:t xml:space="preserve">第八条 </w:t>
      </w:r>
      <w:r>
        <w:rPr>
          <w:rFonts w:hint="eastAsia" w:ascii="宋体" w:hAnsi="宋体" w:eastAsia="宋体" w:cs="宋体"/>
          <w:color w:val="auto"/>
          <w:sz w:val="24"/>
          <w:highlight w:val="none"/>
        </w:rPr>
        <w:t>评审中，评委会发现投标人的投标文件中对同类问题表述不一致、前后矛盾、有明显文字和计算错误的内容、有可能不符合招标文件规定等情况需要澄清时，评委会将以询标的方式告知并要求投标人以书面方式进行必要的澄清、说明或补正。对于询标后判定为不符合招标文件的投标文件，评委要提出充足的否定理由。</w:t>
      </w:r>
    </w:p>
    <w:p w14:paraId="6756542D">
      <w:pPr>
        <w:adjustRightInd w:val="0"/>
        <w:snapToGrid w:val="0"/>
        <w:spacing w:line="360" w:lineRule="auto"/>
        <w:ind w:right="-10"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rPr>
        <w:t>第九条</w:t>
      </w:r>
      <w:r>
        <w:rPr>
          <w:rFonts w:hint="eastAsia" w:ascii="宋体" w:hAnsi="宋体" w:eastAsia="宋体" w:cs="宋体"/>
          <w:color w:val="auto"/>
          <w:sz w:val="24"/>
          <w:highlight w:val="none"/>
        </w:rPr>
        <w:t xml:space="preserve"> 评委会首先对各投标人进行符合性审查，通过符合性审查的投标人为有效投标人，有效投标人进入综合评分环节，按招标文件约定由评委会推荐中标候选人；没有通过符合性审查的投标人为无效投标。</w:t>
      </w:r>
    </w:p>
    <w:p w14:paraId="3B257834">
      <w:pPr>
        <w:rPr>
          <w:rFonts w:hint="eastAsia" w:ascii="宋体" w:hAnsi="宋体" w:eastAsia="宋体" w:cs="宋体"/>
          <w:color w:val="auto"/>
          <w:sz w:val="24"/>
          <w:highlight w:val="none"/>
        </w:rPr>
      </w:pPr>
    </w:p>
    <w:p w14:paraId="5F907378">
      <w:pPr>
        <w:pStyle w:val="17"/>
        <w:ind w:firstLine="480" w:firstLineChars="200"/>
        <w:rPr>
          <w:rFonts w:hint="eastAsia" w:ascii="宋体" w:hAnsi="宋体" w:eastAsia="宋体" w:cs="宋体"/>
          <w:color w:val="auto"/>
          <w:sz w:val="24"/>
          <w:szCs w:val="20"/>
          <w:highlight w:val="none"/>
        </w:rPr>
      </w:pPr>
    </w:p>
    <w:p w14:paraId="5935F8A4">
      <w:pPr>
        <w:pStyle w:val="17"/>
        <w:rPr>
          <w:rFonts w:hint="eastAsia" w:ascii="宋体" w:hAnsi="宋体" w:eastAsia="宋体" w:cs="宋体"/>
          <w:color w:val="auto"/>
          <w:highlight w:val="none"/>
        </w:rPr>
      </w:pPr>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2"/>
        <w:gridCol w:w="2005"/>
        <w:gridCol w:w="2353"/>
        <w:gridCol w:w="725"/>
        <w:gridCol w:w="2569"/>
      </w:tblGrid>
      <w:tr w14:paraId="0D04D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 w:hRule="atLeast"/>
        </w:trPr>
        <w:tc>
          <w:tcPr>
            <w:tcW w:w="8364" w:type="dxa"/>
            <w:gridSpan w:val="5"/>
            <w:noWrap w:val="0"/>
            <w:vAlign w:val="center"/>
          </w:tcPr>
          <w:p w14:paraId="5600BB12">
            <w:pPr>
              <w:pStyle w:val="29"/>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b/>
                <w:color w:val="auto"/>
                <w:kern w:val="2"/>
                <w:highlight w:val="none"/>
                <w:lang w:val="en-US" w:eastAsia="zh-CN"/>
              </w:rPr>
            </w:pPr>
            <w:r>
              <w:rPr>
                <w:rFonts w:hint="eastAsia" w:ascii="宋体" w:hAnsi="宋体" w:eastAsia="宋体" w:cs="宋体"/>
                <w:b/>
                <w:color w:val="auto"/>
                <w:kern w:val="2"/>
                <w:highlight w:val="none"/>
                <w:lang w:val="en-US" w:eastAsia="zh-CN"/>
              </w:rPr>
              <w:t>项目符合性审查表</w:t>
            </w:r>
          </w:p>
        </w:tc>
      </w:tr>
      <w:tr w14:paraId="4165C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0" w:hRule="atLeast"/>
        </w:trPr>
        <w:tc>
          <w:tcPr>
            <w:tcW w:w="712" w:type="dxa"/>
            <w:tcBorders>
              <w:bottom w:val="single" w:color="auto" w:sz="4" w:space="0"/>
            </w:tcBorders>
            <w:noWrap w:val="0"/>
            <w:vAlign w:val="center"/>
          </w:tcPr>
          <w:p w14:paraId="28C3F775">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2005" w:type="dxa"/>
            <w:tcBorders>
              <w:bottom w:val="single" w:color="auto" w:sz="4" w:space="0"/>
            </w:tcBorders>
            <w:noWrap w:val="0"/>
            <w:vAlign w:val="center"/>
          </w:tcPr>
          <w:p w14:paraId="3B1D3432">
            <w:pPr>
              <w:pStyle w:val="29"/>
              <w:pBdr>
                <w:bottom w:val="none" w:color="auto" w:sz="0" w:space="0"/>
              </w:pBdr>
              <w:tabs>
                <w:tab w:val="clear" w:pos="4153"/>
                <w:tab w:val="clear" w:pos="8306"/>
              </w:tabs>
              <w:snapToGrid w:val="0"/>
              <w:spacing w:line="360" w:lineRule="auto"/>
              <w:ind w:right="-10"/>
              <w:textAlignment w:val="auto"/>
              <w:rPr>
                <w:rFonts w:hint="eastAsia" w:ascii="宋体" w:hAnsi="宋体" w:eastAsia="宋体" w:cs="宋体"/>
                <w:color w:val="auto"/>
                <w:kern w:val="2"/>
                <w:szCs w:val="24"/>
                <w:highlight w:val="none"/>
                <w:lang w:val="en-US" w:eastAsia="zh-CN"/>
              </w:rPr>
            </w:pPr>
            <w:r>
              <w:rPr>
                <w:rFonts w:hint="eastAsia" w:ascii="宋体" w:hAnsi="宋体" w:eastAsia="宋体" w:cs="宋体"/>
                <w:color w:val="auto"/>
                <w:kern w:val="2"/>
                <w:szCs w:val="24"/>
                <w:highlight w:val="none"/>
                <w:lang w:val="en-US" w:eastAsia="zh-CN"/>
              </w:rPr>
              <w:t>指标名称</w:t>
            </w:r>
          </w:p>
        </w:tc>
        <w:tc>
          <w:tcPr>
            <w:tcW w:w="2353" w:type="dxa"/>
            <w:tcBorders>
              <w:bottom w:val="single" w:color="auto" w:sz="4" w:space="0"/>
            </w:tcBorders>
            <w:noWrap w:val="0"/>
            <w:vAlign w:val="center"/>
          </w:tcPr>
          <w:p w14:paraId="7624B0E2">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指标要求</w:t>
            </w:r>
          </w:p>
        </w:tc>
        <w:tc>
          <w:tcPr>
            <w:tcW w:w="725" w:type="dxa"/>
            <w:tcBorders>
              <w:bottom w:val="single" w:color="auto" w:sz="4" w:space="0"/>
            </w:tcBorders>
            <w:noWrap w:val="0"/>
            <w:vAlign w:val="center"/>
          </w:tcPr>
          <w:p w14:paraId="4A47E80A">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是否</w:t>
            </w:r>
          </w:p>
          <w:p w14:paraId="27C70D6B">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通过</w:t>
            </w:r>
          </w:p>
        </w:tc>
        <w:tc>
          <w:tcPr>
            <w:tcW w:w="2569" w:type="dxa"/>
            <w:tcBorders>
              <w:bottom w:val="single" w:color="auto" w:sz="4" w:space="0"/>
            </w:tcBorders>
            <w:noWrap w:val="0"/>
            <w:vAlign w:val="center"/>
          </w:tcPr>
          <w:p w14:paraId="4FAB961E">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投标文件格式及</w:t>
            </w:r>
          </w:p>
          <w:p w14:paraId="03DDF590">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提交资料要求</w:t>
            </w:r>
          </w:p>
        </w:tc>
      </w:tr>
      <w:tr w14:paraId="43FE6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1F773B9A">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2005" w:type="dxa"/>
            <w:noWrap w:val="0"/>
            <w:vAlign w:val="center"/>
          </w:tcPr>
          <w:p w14:paraId="2EEA3ED9">
            <w:pPr>
              <w:spacing w:after="50" w:line="360" w:lineRule="auto"/>
              <w:ind w:right="-10"/>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投标人资格</w:t>
            </w:r>
          </w:p>
        </w:tc>
        <w:tc>
          <w:tcPr>
            <w:tcW w:w="2353" w:type="dxa"/>
            <w:noWrap w:val="0"/>
            <w:vAlign w:val="center"/>
          </w:tcPr>
          <w:p w14:paraId="7A35A809">
            <w:pPr>
              <w:spacing w:after="50" w:line="360" w:lineRule="auto"/>
              <w:ind w:right="-10"/>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见招标文件</w:t>
            </w:r>
          </w:p>
        </w:tc>
        <w:tc>
          <w:tcPr>
            <w:tcW w:w="725" w:type="dxa"/>
            <w:noWrap w:val="0"/>
            <w:vAlign w:val="center"/>
          </w:tcPr>
          <w:p w14:paraId="53D3D718">
            <w:pPr>
              <w:adjustRightInd w:val="0"/>
              <w:snapToGrid w:val="0"/>
              <w:spacing w:line="360" w:lineRule="auto"/>
              <w:ind w:right="-10"/>
              <w:rPr>
                <w:rFonts w:hint="eastAsia" w:ascii="宋体" w:hAnsi="宋体" w:eastAsia="宋体" w:cs="宋体"/>
                <w:color w:val="auto"/>
                <w:sz w:val="24"/>
                <w:highlight w:val="none"/>
              </w:rPr>
            </w:pPr>
          </w:p>
        </w:tc>
        <w:tc>
          <w:tcPr>
            <w:tcW w:w="2569" w:type="dxa"/>
            <w:noWrap w:val="0"/>
            <w:vAlign w:val="center"/>
          </w:tcPr>
          <w:p w14:paraId="24ED9835">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51D37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2" w:hRule="atLeast"/>
        </w:trPr>
        <w:tc>
          <w:tcPr>
            <w:tcW w:w="712" w:type="dxa"/>
            <w:noWrap w:val="0"/>
            <w:vAlign w:val="center"/>
          </w:tcPr>
          <w:p w14:paraId="6B18D39B">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2005" w:type="dxa"/>
            <w:noWrap w:val="0"/>
            <w:vAlign w:val="center"/>
          </w:tcPr>
          <w:p w14:paraId="06E23719">
            <w:pPr>
              <w:spacing w:after="50" w:line="360" w:lineRule="auto"/>
              <w:ind w:right="-10"/>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技术要求</w:t>
            </w:r>
          </w:p>
        </w:tc>
        <w:tc>
          <w:tcPr>
            <w:tcW w:w="2353" w:type="dxa"/>
            <w:noWrap w:val="0"/>
            <w:vAlign w:val="center"/>
          </w:tcPr>
          <w:p w14:paraId="3543EC24">
            <w:pPr>
              <w:spacing w:after="50" w:line="360" w:lineRule="auto"/>
              <w:ind w:right="-10"/>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按评标办法</w:t>
            </w:r>
          </w:p>
        </w:tc>
        <w:tc>
          <w:tcPr>
            <w:tcW w:w="725" w:type="dxa"/>
            <w:noWrap w:val="0"/>
            <w:vAlign w:val="center"/>
          </w:tcPr>
          <w:p w14:paraId="1436E0CB">
            <w:pPr>
              <w:adjustRightInd w:val="0"/>
              <w:snapToGrid w:val="0"/>
              <w:spacing w:line="360" w:lineRule="auto"/>
              <w:ind w:right="-10"/>
              <w:rPr>
                <w:rFonts w:hint="eastAsia" w:ascii="宋体" w:hAnsi="宋体" w:eastAsia="宋体" w:cs="宋体"/>
                <w:color w:val="auto"/>
                <w:sz w:val="24"/>
                <w:highlight w:val="none"/>
              </w:rPr>
            </w:pPr>
          </w:p>
        </w:tc>
        <w:tc>
          <w:tcPr>
            <w:tcW w:w="2569" w:type="dxa"/>
            <w:noWrap w:val="0"/>
            <w:vAlign w:val="center"/>
          </w:tcPr>
          <w:p w14:paraId="5577B484">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r w14:paraId="15618A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8" w:hRule="atLeast"/>
        </w:trPr>
        <w:tc>
          <w:tcPr>
            <w:tcW w:w="712" w:type="dxa"/>
            <w:noWrap w:val="0"/>
            <w:vAlign w:val="center"/>
          </w:tcPr>
          <w:p w14:paraId="1848D6C2">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2005" w:type="dxa"/>
            <w:noWrap w:val="0"/>
            <w:vAlign w:val="center"/>
          </w:tcPr>
          <w:p w14:paraId="76EA6CF2">
            <w:pPr>
              <w:spacing w:after="50" w:line="360" w:lineRule="auto"/>
              <w:ind w:right="-10"/>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质保及售后等</w:t>
            </w:r>
          </w:p>
        </w:tc>
        <w:tc>
          <w:tcPr>
            <w:tcW w:w="2353" w:type="dxa"/>
            <w:noWrap w:val="0"/>
            <w:vAlign w:val="center"/>
          </w:tcPr>
          <w:p w14:paraId="6CA8584F">
            <w:pPr>
              <w:spacing w:after="50" w:line="360" w:lineRule="auto"/>
              <w:ind w:right="-10"/>
              <w:jc w:val="center"/>
              <w:rPr>
                <w:rFonts w:hint="eastAsia" w:ascii="宋体" w:hAnsi="宋体" w:eastAsia="宋体" w:cs="宋体"/>
                <w:color w:val="auto"/>
                <w:sz w:val="24"/>
                <w:szCs w:val="28"/>
                <w:highlight w:val="none"/>
              </w:rPr>
            </w:pPr>
            <w:r>
              <w:rPr>
                <w:rFonts w:hint="eastAsia" w:ascii="宋体" w:hAnsi="宋体" w:eastAsia="宋体" w:cs="宋体"/>
                <w:color w:val="auto"/>
                <w:sz w:val="24"/>
                <w:szCs w:val="28"/>
                <w:highlight w:val="none"/>
              </w:rPr>
              <w:t>见招标文件</w:t>
            </w:r>
          </w:p>
        </w:tc>
        <w:tc>
          <w:tcPr>
            <w:tcW w:w="725" w:type="dxa"/>
            <w:noWrap w:val="0"/>
            <w:vAlign w:val="center"/>
          </w:tcPr>
          <w:p w14:paraId="0DB7FE49">
            <w:pPr>
              <w:adjustRightInd w:val="0"/>
              <w:snapToGrid w:val="0"/>
              <w:spacing w:line="360" w:lineRule="auto"/>
              <w:ind w:right="-10"/>
              <w:rPr>
                <w:rFonts w:hint="eastAsia" w:ascii="宋体" w:hAnsi="宋体" w:eastAsia="宋体" w:cs="宋体"/>
                <w:color w:val="auto"/>
                <w:sz w:val="24"/>
                <w:highlight w:val="none"/>
              </w:rPr>
            </w:pPr>
          </w:p>
        </w:tc>
        <w:tc>
          <w:tcPr>
            <w:tcW w:w="2569" w:type="dxa"/>
            <w:noWrap w:val="0"/>
            <w:vAlign w:val="center"/>
          </w:tcPr>
          <w:p w14:paraId="5AB7A382">
            <w:pPr>
              <w:adjustRightInd w:val="0"/>
              <w:snapToGrid w:val="0"/>
              <w:spacing w:line="360" w:lineRule="auto"/>
              <w:ind w:right="-1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见投标文件</w:t>
            </w:r>
          </w:p>
        </w:tc>
      </w:tr>
    </w:tbl>
    <w:p w14:paraId="16E31FC5">
      <w:pPr>
        <w:spacing w:line="360" w:lineRule="auto"/>
        <w:ind w:firstLine="482" w:firstLineChars="200"/>
        <w:rPr>
          <w:rFonts w:hint="eastAsia" w:ascii="宋体" w:hAnsi="宋体" w:eastAsia="宋体" w:cs="宋体"/>
          <w:color w:val="auto"/>
          <w:sz w:val="24"/>
          <w:szCs w:val="24"/>
          <w:highlight w:val="none"/>
        </w:rPr>
      </w:pPr>
      <w:r>
        <w:rPr>
          <w:rFonts w:hint="eastAsia" w:ascii="宋体" w:hAnsi="宋体" w:eastAsia="宋体" w:cs="宋体"/>
          <w:b/>
          <w:bCs/>
          <w:color w:val="auto"/>
          <w:sz w:val="24"/>
          <w:highlight w:val="none"/>
        </w:rPr>
        <w:t>评分标准（满分为100分）</w:t>
      </w:r>
      <w:r>
        <w:rPr>
          <w:rFonts w:hint="eastAsia" w:ascii="宋体" w:hAnsi="宋体" w:eastAsia="宋体" w:cs="宋体"/>
          <w:color w:val="auto"/>
          <w:sz w:val="24"/>
          <w:highlight w:val="none"/>
        </w:rPr>
        <w:t>说明:</w:t>
      </w:r>
      <w:r>
        <w:rPr>
          <w:rFonts w:hint="eastAsia" w:ascii="宋体" w:hAnsi="宋体" w:eastAsia="宋体" w:cs="宋体"/>
          <w:color w:val="auto"/>
          <w:sz w:val="24"/>
          <w:szCs w:val="24"/>
          <w:highlight w:val="none"/>
        </w:rPr>
        <w:t>各投标人的最终得分为各评委得分的算术平均值；评分分值计算保留小数点后两位，小数点后第三位“四舍五入”。</w:t>
      </w:r>
    </w:p>
    <w:p w14:paraId="4FB38646">
      <w:pPr>
        <w:pStyle w:val="19"/>
        <w:spacing w:before="0" w:beforeAutospacing="0" w:after="0" w:afterAutospacing="0"/>
        <w:contextualSpacing/>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br w:type="page"/>
      </w:r>
      <w:r>
        <w:rPr>
          <w:rFonts w:hint="eastAsia" w:ascii="宋体" w:hAnsi="宋体" w:eastAsia="宋体" w:cs="宋体"/>
          <w:color w:val="auto"/>
          <w:sz w:val="32"/>
          <w:szCs w:val="32"/>
          <w:highlight w:val="none"/>
        </w:rPr>
        <w:t>评标办法</w:t>
      </w:r>
    </w:p>
    <w:tbl>
      <w:tblPr>
        <w:tblStyle w:val="23"/>
        <w:tblW w:w="57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7"/>
        <w:gridCol w:w="1068"/>
        <w:gridCol w:w="856"/>
        <w:gridCol w:w="7900"/>
      </w:tblGrid>
      <w:tr w14:paraId="70F5E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blHeader/>
          <w:jc w:val="center"/>
        </w:trPr>
        <w:tc>
          <w:tcPr>
            <w:tcW w:w="547" w:type="pct"/>
            <w:noWrap w:val="0"/>
            <w:vAlign w:val="center"/>
          </w:tcPr>
          <w:p w14:paraId="1184542E">
            <w:pPr>
              <w:jc w:val="center"/>
              <w:rPr>
                <w:rFonts w:ascii="宋体" w:hAnsi="宋体"/>
                <w:color w:val="auto"/>
                <w:szCs w:val="21"/>
                <w:highlight w:val="none"/>
              </w:rPr>
            </w:pPr>
            <w:r>
              <w:rPr>
                <w:rFonts w:hint="eastAsia" w:ascii="宋体" w:hAnsi="宋体"/>
                <w:color w:val="auto"/>
                <w:szCs w:val="21"/>
                <w:highlight w:val="none"/>
              </w:rPr>
              <w:t>项目</w:t>
            </w:r>
          </w:p>
        </w:tc>
        <w:tc>
          <w:tcPr>
            <w:tcW w:w="484" w:type="pct"/>
            <w:noWrap w:val="0"/>
            <w:vAlign w:val="center"/>
          </w:tcPr>
          <w:p w14:paraId="2B547810">
            <w:pPr>
              <w:jc w:val="center"/>
              <w:rPr>
                <w:rFonts w:ascii="宋体" w:hAnsi="宋体"/>
                <w:color w:val="auto"/>
                <w:szCs w:val="21"/>
                <w:highlight w:val="none"/>
              </w:rPr>
            </w:pPr>
            <w:r>
              <w:rPr>
                <w:rFonts w:hint="eastAsia" w:ascii="宋体" w:hAnsi="宋体"/>
                <w:color w:val="auto"/>
                <w:szCs w:val="21"/>
                <w:highlight w:val="none"/>
              </w:rPr>
              <w:t>评审分项</w:t>
            </w:r>
          </w:p>
        </w:tc>
        <w:tc>
          <w:tcPr>
            <w:tcW w:w="388" w:type="pct"/>
            <w:noWrap w:val="0"/>
            <w:vAlign w:val="center"/>
          </w:tcPr>
          <w:p w14:paraId="2ADDDB72">
            <w:pPr>
              <w:jc w:val="center"/>
              <w:rPr>
                <w:rFonts w:ascii="宋体" w:hAnsi="宋体"/>
                <w:color w:val="auto"/>
                <w:szCs w:val="21"/>
                <w:highlight w:val="none"/>
              </w:rPr>
            </w:pPr>
            <w:r>
              <w:rPr>
                <w:rFonts w:hint="eastAsia" w:ascii="宋体" w:hAnsi="宋体"/>
                <w:color w:val="auto"/>
                <w:szCs w:val="21"/>
                <w:highlight w:val="none"/>
              </w:rPr>
              <w:t>满分</w:t>
            </w:r>
          </w:p>
        </w:tc>
        <w:tc>
          <w:tcPr>
            <w:tcW w:w="3579" w:type="pct"/>
            <w:noWrap w:val="0"/>
            <w:vAlign w:val="center"/>
          </w:tcPr>
          <w:p w14:paraId="27B8F9CD">
            <w:pPr>
              <w:jc w:val="center"/>
              <w:rPr>
                <w:rFonts w:ascii="宋体" w:hAnsi="宋体"/>
                <w:color w:val="auto"/>
                <w:szCs w:val="21"/>
                <w:highlight w:val="none"/>
              </w:rPr>
            </w:pPr>
            <w:r>
              <w:rPr>
                <w:rFonts w:hint="eastAsia" w:ascii="宋体" w:hAnsi="宋体"/>
                <w:color w:val="auto"/>
                <w:szCs w:val="21"/>
                <w:highlight w:val="none"/>
              </w:rPr>
              <w:t>评审内容及分值</w:t>
            </w:r>
          </w:p>
        </w:tc>
      </w:tr>
      <w:tr w14:paraId="69E02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47" w:type="pct"/>
            <w:noWrap w:val="0"/>
            <w:vAlign w:val="center"/>
          </w:tcPr>
          <w:p w14:paraId="1D8BFBE1">
            <w:pPr>
              <w:jc w:val="center"/>
              <w:rPr>
                <w:rFonts w:ascii="宋体" w:hAnsi="宋体"/>
                <w:color w:val="auto"/>
                <w:szCs w:val="21"/>
                <w:highlight w:val="none"/>
              </w:rPr>
            </w:pPr>
            <w:r>
              <w:rPr>
                <w:rFonts w:hint="eastAsia" w:ascii="宋体" w:hAnsi="宋体"/>
                <w:color w:val="auto"/>
                <w:szCs w:val="21"/>
                <w:highlight w:val="none"/>
              </w:rPr>
              <w:t>价格部分</w:t>
            </w:r>
            <w:r>
              <w:rPr>
                <w:rFonts w:ascii="宋体" w:hAnsi="宋体"/>
                <w:color w:val="auto"/>
                <w:szCs w:val="21"/>
                <w:highlight w:val="none"/>
              </w:rPr>
              <w:t>1</w:t>
            </w:r>
            <w:r>
              <w:rPr>
                <w:rFonts w:hint="eastAsia" w:ascii="宋体" w:hAnsi="宋体"/>
                <w:color w:val="auto"/>
                <w:szCs w:val="21"/>
                <w:highlight w:val="none"/>
              </w:rPr>
              <w:t>0分</w:t>
            </w:r>
          </w:p>
        </w:tc>
        <w:tc>
          <w:tcPr>
            <w:tcW w:w="484" w:type="pct"/>
            <w:noWrap w:val="0"/>
            <w:vAlign w:val="center"/>
          </w:tcPr>
          <w:p w14:paraId="58E879D5">
            <w:pPr>
              <w:jc w:val="center"/>
              <w:rPr>
                <w:rFonts w:ascii="宋体" w:hAnsi="宋体"/>
                <w:color w:val="auto"/>
                <w:szCs w:val="21"/>
                <w:highlight w:val="none"/>
              </w:rPr>
            </w:pPr>
            <w:r>
              <w:rPr>
                <w:rFonts w:hint="eastAsia" w:ascii="宋体" w:hAnsi="宋体"/>
                <w:color w:val="auto"/>
                <w:szCs w:val="21"/>
                <w:highlight w:val="none"/>
              </w:rPr>
              <w:t>投标报价</w:t>
            </w:r>
          </w:p>
        </w:tc>
        <w:tc>
          <w:tcPr>
            <w:tcW w:w="388" w:type="pct"/>
            <w:noWrap w:val="0"/>
            <w:vAlign w:val="center"/>
          </w:tcPr>
          <w:p w14:paraId="32129FE9">
            <w:pPr>
              <w:jc w:val="center"/>
              <w:rPr>
                <w:rFonts w:ascii="宋体" w:hAnsi="宋体"/>
                <w:color w:val="auto"/>
                <w:szCs w:val="21"/>
                <w:highlight w:val="none"/>
              </w:rPr>
            </w:pPr>
            <w:r>
              <w:rPr>
                <w:rFonts w:ascii="宋体" w:hAnsi="宋体"/>
                <w:color w:val="auto"/>
                <w:szCs w:val="21"/>
                <w:highlight w:val="none"/>
              </w:rPr>
              <w:t>1</w:t>
            </w:r>
            <w:r>
              <w:rPr>
                <w:rFonts w:hint="eastAsia" w:ascii="宋体" w:hAnsi="宋体"/>
                <w:color w:val="auto"/>
                <w:szCs w:val="21"/>
                <w:highlight w:val="none"/>
              </w:rPr>
              <w:t>0</w:t>
            </w:r>
          </w:p>
        </w:tc>
        <w:tc>
          <w:tcPr>
            <w:tcW w:w="3579" w:type="pct"/>
            <w:noWrap w:val="0"/>
            <w:vAlign w:val="top"/>
          </w:tcPr>
          <w:p w14:paraId="04AC6019">
            <w:pPr>
              <w:rPr>
                <w:rFonts w:hint="eastAsia" w:ascii="Times New Roman" w:hAnsi="Times New Roman" w:eastAsia="宋体" w:cs="Times New Roman"/>
                <w:kern w:val="2"/>
                <w:sz w:val="21"/>
                <w:lang w:val="en-US" w:eastAsia="zh-CN" w:bidi="ar-SA"/>
              </w:rPr>
            </w:pPr>
            <w:r>
              <w:rPr>
                <w:rFonts w:hint="eastAsia" w:ascii="Times New Roman" w:hAnsi="Times New Roman" w:eastAsia="宋体" w:cs="Times New Roman"/>
                <w:kern w:val="2"/>
                <w:sz w:val="21"/>
                <w:lang w:val="en-US" w:eastAsia="zh-CN" w:bidi="ar-SA"/>
              </w:rPr>
              <w:t>价格分应当采用低价优先法计算，即满足招标文件要求且投标价格最低的投标报价为评标基准价，其价格分为满分。其他投标人的价格分统一按照下列公式计算：</w:t>
            </w:r>
          </w:p>
          <w:p w14:paraId="57D5ED1B">
            <w:pPr>
              <w:rPr>
                <w:rFonts w:hint="default" w:ascii="Times New Roman" w:hAnsi="Times New Roman" w:eastAsia="宋体" w:cs="Times New Roman"/>
                <w:kern w:val="2"/>
                <w:sz w:val="21"/>
                <w:lang w:val="en-US" w:eastAsia="zh-CN" w:bidi="ar-SA"/>
              </w:rPr>
            </w:pPr>
            <w:r>
              <w:rPr>
                <w:rFonts w:hint="eastAsia" w:ascii="Times New Roman" w:hAnsi="Times New Roman" w:eastAsia="宋体" w:cs="Times New Roman"/>
                <w:kern w:val="2"/>
                <w:sz w:val="21"/>
                <w:lang w:val="en-US" w:eastAsia="zh-CN" w:bidi="ar-SA"/>
              </w:rPr>
              <w:t>　　投标报价得分=(评标基准价／投标报价)×10</w:t>
            </w:r>
          </w:p>
          <w:p w14:paraId="65F366B6">
            <w:pPr>
              <w:rPr>
                <w:rFonts w:hint="eastAsia" w:ascii="Times New Roman" w:hAnsi="Times New Roman" w:eastAsia="宋体" w:cs="Times New Roman"/>
                <w:kern w:val="2"/>
                <w:sz w:val="21"/>
                <w:lang w:val="en-US" w:eastAsia="zh-CN" w:bidi="ar-SA"/>
              </w:rPr>
            </w:pPr>
            <w:r>
              <w:rPr>
                <w:rFonts w:hint="eastAsia" w:ascii="Times New Roman" w:hAnsi="Times New Roman" w:eastAsia="宋体" w:cs="Times New Roman"/>
                <w:kern w:val="2"/>
                <w:sz w:val="21"/>
                <w:lang w:val="en-US" w:eastAsia="zh-CN" w:bidi="ar-SA"/>
              </w:rPr>
              <w:t>注：价格分计算保留小数点后二位。</w:t>
            </w:r>
          </w:p>
          <w:p w14:paraId="6E5A24F0">
            <w:pPr>
              <w:rPr>
                <w:rFonts w:hint="eastAsia" w:ascii="Times New Roman" w:hAnsi="Times New Roman" w:eastAsia="宋体" w:cs="Times New Roman"/>
                <w:kern w:val="2"/>
                <w:sz w:val="21"/>
                <w:lang w:val="en-US" w:eastAsia="zh-CN" w:bidi="ar-SA"/>
              </w:rPr>
            </w:pPr>
            <w:r>
              <w:rPr>
                <w:rFonts w:hint="eastAsia" w:ascii="Times New Roman" w:hAnsi="Times New Roman" w:eastAsia="宋体" w:cs="Times New Roman"/>
                <w:kern w:val="2"/>
                <w:sz w:val="21"/>
                <w:lang w:val="en-US" w:eastAsia="zh-CN" w:bidi="ar-SA"/>
              </w:rPr>
              <w:t>备注：根据财政部、工信部关于印发《政府采购促进中小企业发展管理办法》的通知（财库〔2020〕46号 ）文件规定：</w:t>
            </w:r>
          </w:p>
          <w:p w14:paraId="024D33EA">
            <w:pPr>
              <w:rPr>
                <w:rFonts w:hint="eastAsia" w:ascii="Times New Roman" w:hAnsi="Times New Roman" w:eastAsia="宋体" w:cs="Times New Roman"/>
                <w:kern w:val="2"/>
                <w:sz w:val="21"/>
                <w:lang w:val="en-US" w:eastAsia="zh-CN" w:bidi="ar-SA"/>
              </w:rPr>
            </w:pPr>
            <w:r>
              <w:rPr>
                <w:rFonts w:hint="eastAsia" w:ascii="Times New Roman" w:hAnsi="Times New Roman" w:eastAsia="宋体" w:cs="Times New Roman"/>
                <w:kern w:val="2"/>
                <w:sz w:val="21"/>
                <w:lang w:val="en-US" w:eastAsia="zh-CN" w:bidi="ar-SA"/>
              </w:rPr>
              <w:t>（1）对小微企业报价给予20%扣除，请按照《政府采购促进中小企业发展管理办法》要求提供中小企业声明函。</w:t>
            </w:r>
          </w:p>
          <w:p w14:paraId="6AD339C8">
            <w:pPr>
              <w:rPr>
                <w:rFonts w:hint="eastAsia" w:ascii="Times New Roman" w:hAnsi="Times New Roman" w:eastAsia="宋体" w:cs="Times New Roman"/>
                <w:kern w:val="2"/>
                <w:sz w:val="21"/>
                <w:lang w:val="en-US" w:eastAsia="zh-CN" w:bidi="ar-SA"/>
              </w:rPr>
            </w:pPr>
            <w:r>
              <w:rPr>
                <w:rFonts w:hint="eastAsia" w:ascii="Times New Roman" w:hAnsi="Times New Roman" w:eastAsia="宋体" w:cs="Times New Roman"/>
                <w:kern w:val="2"/>
                <w:sz w:val="21"/>
                <w:lang w:val="en-US" w:eastAsia="zh-CN" w:bidi="ar-SA"/>
              </w:rPr>
              <w:t>（2）关于监狱企业：视同小微企业。须提供由省级以上监狱管理局、戒毒管理局（含新疆生产建设兵团）出具的属于监狱企业的证明文件，否则不考虑价格扣除。</w:t>
            </w:r>
          </w:p>
          <w:p w14:paraId="2147C9D8">
            <w:pPr>
              <w:rPr>
                <w:rFonts w:hint="eastAsia" w:ascii="Times New Roman" w:hAnsi="Times New Roman" w:eastAsia="宋体" w:cs="Times New Roman"/>
                <w:kern w:val="2"/>
                <w:sz w:val="21"/>
                <w:lang w:val="en-US" w:eastAsia="zh-CN" w:bidi="ar-SA"/>
              </w:rPr>
            </w:pPr>
            <w:r>
              <w:rPr>
                <w:rFonts w:hint="eastAsia" w:ascii="Times New Roman" w:hAnsi="Times New Roman" w:eastAsia="宋体" w:cs="Times New Roman"/>
                <w:kern w:val="2"/>
                <w:sz w:val="21"/>
                <w:lang w:val="en-US" w:eastAsia="zh-CN" w:bidi="ar-SA"/>
              </w:rPr>
              <w:t>（3）关于残疾人福利性单位：视同小微企业。须提供完整的“残疾人福利性单位声明函”，否则在价格评审时不予考虑价格扣除。残疾人福利性单位属于小型、微型企业的，不重复享受政策。</w:t>
            </w:r>
          </w:p>
          <w:p w14:paraId="44938690">
            <w:pPr>
              <w:rPr>
                <w:rFonts w:hint="eastAsia" w:ascii="Times New Roman" w:hAnsi="Times New Roman" w:eastAsia="宋体" w:cs="Times New Roman"/>
                <w:kern w:val="2"/>
                <w:sz w:val="21"/>
                <w:lang w:val="en-US" w:eastAsia="zh-CN" w:bidi="ar-SA"/>
              </w:rPr>
            </w:pPr>
            <w:r>
              <w:rPr>
                <w:rFonts w:hint="eastAsia" w:ascii="Times New Roman" w:hAnsi="Times New Roman" w:eastAsia="宋体" w:cs="Times New Roman"/>
                <w:kern w:val="2"/>
                <w:sz w:val="21"/>
                <w:lang w:val="en-US" w:eastAsia="zh-CN" w:bidi="ar-SA"/>
              </w:rPr>
              <w:t>（4）没有提供有效证明材料的供应商将被视为不接受投标总价的扣除，用原投标总价参与评审。</w:t>
            </w:r>
          </w:p>
        </w:tc>
      </w:tr>
      <w:tr w14:paraId="7C0D4E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1" w:hRule="atLeast"/>
          <w:jc w:val="center"/>
        </w:trPr>
        <w:tc>
          <w:tcPr>
            <w:tcW w:w="547" w:type="pct"/>
            <w:vMerge w:val="restart"/>
            <w:noWrap w:val="0"/>
            <w:vAlign w:val="center"/>
          </w:tcPr>
          <w:p w14:paraId="58C15673">
            <w:pPr>
              <w:jc w:val="center"/>
              <w:rPr>
                <w:rFonts w:hint="eastAsia" w:ascii="宋体" w:hAnsi="宋体"/>
                <w:color w:val="auto"/>
                <w:szCs w:val="21"/>
                <w:highlight w:val="none"/>
              </w:rPr>
            </w:pPr>
            <w:r>
              <w:rPr>
                <w:rFonts w:hint="eastAsia" w:ascii="宋体" w:hAnsi="宋体"/>
                <w:color w:val="auto"/>
                <w:szCs w:val="21"/>
                <w:highlight w:val="none"/>
              </w:rPr>
              <w:t>技术部分</w:t>
            </w:r>
            <w:r>
              <w:rPr>
                <w:rFonts w:ascii="宋体" w:hAnsi="宋体"/>
                <w:color w:val="auto"/>
                <w:szCs w:val="21"/>
                <w:highlight w:val="none"/>
              </w:rPr>
              <w:t>70</w:t>
            </w:r>
            <w:r>
              <w:rPr>
                <w:rFonts w:hint="eastAsia" w:ascii="宋体" w:hAnsi="宋体"/>
                <w:color w:val="auto"/>
                <w:szCs w:val="21"/>
                <w:highlight w:val="none"/>
              </w:rPr>
              <w:t>分</w:t>
            </w:r>
          </w:p>
        </w:tc>
        <w:tc>
          <w:tcPr>
            <w:tcW w:w="484" w:type="pct"/>
            <w:noWrap w:val="0"/>
            <w:vAlign w:val="center"/>
          </w:tcPr>
          <w:p w14:paraId="4C257CFB">
            <w:pPr>
              <w:jc w:val="center"/>
              <w:rPr>
                <w:rFonts w:hint="eastAsia" w:ascii="宋体" w:hAnsi="宋体"/>
                <w:color w:val="auto"/>
                <w:szCs w:val="21"/>
                <w:highlight w:val="none"/>
              </w:rPr>
            </w:pPr>
            <w:r>
              <w:rPr>
                <w:rFonts w:hint="eastAsia"/>
                <w:color w:val="000000"/>
              </w:rPr>
              <w:t>技术参数</w:t>
            </w:r>
          </w:p>
        </w:tc>
        <w:tc>
          <w:tcPr>
            <w:tcW w:w="388" w:type="pct"/>
            <w:noWrap w:val="0"/>
            <w:vAlign w:val="center"/>
          </w:tcPr>
          <w:p w14:paraId="204427DF">
            <w:pPr>
              <w:jc w:val="center"/>
              <w:rPr>
                <w:rFonts w:hint="default" w:ascii="宋体" w:hAnsi="宋体" w:eastAsia="宋体"/>
                <w:color w:val="auto"/>
                <w:szCs w:val="21"/>
                <w:highlight w:val="none"/>
                <w:lang w:val="en-US" w:eastAsia="zh-CN"/>
              </w:rPr>
            </w:pPr>
            <w:r>
              <w:rPr>
                <w:rFonts w:ascii="宋体" w:hAnsi="宋体"/>
                <w:szCs w:val="21"/>
              </w:rPr>
              <w:t>20</w:t>
            </w:r>
          </w:p>
        </w:tc>
        <w:tc>
          <w:tcPr>
            <w:tcW w:w="3579" w:type="pct"/>
            <w:noWrap w:val="0"/>
            <w:vAlign w:val="center"/>
          </w:tcPr>
          <w:p w14:paraId="08F5D49B">
            <w:pPr>
              <w:rPr>
                <w:rFonts w:hint="eastAsia" w:ascii="Times New Roman" w:hAnsi="Times New Roman" w:eastAsia="宋体" w:cs="Times New Roman"/>
                <w:kern w:val="2"/>
                <w:sz w:val="21"/>
                <w:lang w:val="en-US" w:eastAsia="zh-CN" w:bidi="ar-SA"/>
              </w:rPr>
            </w:pPr>
            <w:r>
              <w:rPr>
                <w:rFonts w:hint="eastAsia" w:ascii="Times New Roman" w:hAnsi="Times New Roman" w:eastAsia="宋体" w:cs="Times New Roman"/>
                <w:kern w:val="2"/>
                <w:sz w:val="21"/>
                <w:lang w:val="en-US" w:eastAsia="zh-CN" w:bidi="ar-SA"/>
              </w:rPr>
              <w:t>满足招标文件中全部参数要求，得基本分20分；招标文件技术参数每有一项负偏离在基本分基础上扣2分。</w:t>
            </w:r>
          </w:p>
          <w:p w14:paraId="4C9F5E2A">
            <w:pPr>
              <w:rPr>
                <w:rFonts w:hint="eastAsia" w:ascii="Times New Roman" w:hAnsi="Times New Roman" w:eastAsia="宋体" w:cs="Times New Roman"/>
                <w:kern w:val="2"/>
                <w:sz w:val="21"/>
                <w:lang w:val="en-US" w:eastAsia="zh-CN" w:bidi="ar-SA"/>
              </w:rPr>
            </w:pPr>
            <w:r>
              <w:rPr>
                <w:rFonts w:hint="eastAsia" w:ascii="Times New Roman" w:hAnsi="Times New Roman" w:eastAsia="宋体" w:cs="Times New Roman"/>
                <w:kern w:val="2"/>
                <w:sz w:val="21"/>
                <w:lang w:val="en-US" w:eastAsia="zh-CN" w:bidi="ar-SA"/>
              </w:rPr>
              <w:t>注：（1）标注“★”的须按照技术参数列明要求提供相关证明材料（具体见参数内容）。（2）非“★”若参数中要求提供证明材料则需提供，参数中未要求的，则承诺即可。</w:t>
            </w:r>
          </w:p>
        </w:tc>
      </w:tr>
      <w:tr w14:paraId="76D9B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47" w:type="pct"/>
            <w:vMerge w:val="continue"/>
            <w:noWrap w:val="0"/>
            <w:vAlign w:val="center"/>
          </w:tcPr>
          <w:p w14:paraId="71824679">
            <w:pPr>
              <w:jc w:val="center"/>
              <w:rPr>
                <w:rFonts w:ascii="宋体" w:hAnsi="宋体"/>
                <w:color w:val="auto"/>
                <w:szCs w:val="21"/>
                <w:highlight w:val="none"/>
              </w:rPr>
            </w:pPr>
          </w:p>
        </w:tc>
        <w:tc>
          <w:tcPr>
            <w:tcW w:w="484" w:type="pct"/>
            <w:noWrap w:val="0"/>
            <w:vAlign w:val="center"/>
          </w:tcPr>
          <w:p w14:paraId="1E83BA3B">
            <w:pPr>
              <w:widowControl/>
              <w:jc w:val="center"/>
              <w:rPr>
                <w:rFonts w:hint="eastAsia" w:ascii="宋体" w:hAnsi="宋体"/>
                <w:szCs w:val="21"/>
              </w:rPr>
            </w:pPr>
            <w:r>
              <w:rPr>
                <w:rFonts w:hint="eastAsia" w:ascii="宋体" w:hAnsi="宋体"/>
                <w:szCs w:val="21"/>
              </w:rPr>
              <w:t>整体架构</w:t>
            </w:r>
          </w:p>
          <w:p w14:paraId="28FD12C2">
            <w:pPr>
              <w:widowControl/>
              <w:jc w:val="center"/>
              <w:rPr>
                <w:rFonts w:hint="eastAsia" w:ascii="宋体" w:hAnsi="宋体"/>
                <w:color w:val="auto"/>
                <w:szCs w:val="21"/>
                <w:highlight w:val="none"/>
              </w:rPr>
            </w:pPr>
            <w:r>
              <w:rPr>
                <w:rFonts w:hint="eastAsia" w:ascii="宋体" w:hAnsi="宋体"/>
                <w:szCs w:val="21"/>
              </w:rPr>
              <w:t>设计</w:t>
            </w:r>
          </w:p>
        </w:tc>
        <w:tc>
          <w:tcPr>
            <w:tcW w:w="388" w:type="pct"/>
            <w:noWrap w:val="0"/>
            <w:vAlign w:val="center"/>
          </w:tcPr>
          <w:p w14:paraId="331B9483">
            <w:pPr>
              <w:jc w:val="center"/>
              <w:rPr>
                <w:rFonts w:hint="default" w:ascii="宋体" w:hAnsi="宋体" w:eastAsia="宋体"/>
                <w:color w:val="auto"/>
                <w:szCs w:val="21"/>
                <w:highlight w:val="none"/>
                <w:lang w:val="en-US" w:eastAsia="zh-CN"/>
              </w:rPr>
            </w:pPr>
            <w:r>
              <w:rPr>
                <w:rFonts w:ascii="宋体" w:hAnsi="宋体"/>
                <w:szCs w:val="21"/>
              </w:rPr>
              <w:t>15</w:t>
            </w:r>
          </w:p>
        </w:tc>
        <w:tc>
          <w:tcPr>
            <w:tcW w:w="3579" w:type="pct"/>
            <w:noWrap w:val="0"/>
            <w:vAlign w:val="center"/>
          </w:tcPr>
          <w:p w14:paraId="4853B005">
            <w:pPr>
              <w:rPr>
                <w:rFonts w:hint="eastAsia" w:ascii="Times New Roman" w:hAnsi="Times New Roman" w:eastAsia="宋体" w:cs="Times New Roman"/>
                <w:kern w:val="2"/>
                <w:sz w:val="21"/>
                <w:lang w:val="en-US" w:eastAsia="zh-CN" w:bidi="ar-SA"/>
              </w:rPr>
            </w:pPr>
            <w:r>
              <w:rPr>
                <w:rFonts w:hint="eastAsia" w:ascii="Times New Roman" w:hAnsi="Times New Roman" w:eastAsia="宋体" w:cs="Times New Roman"/>
                <w:kern w:val="2"/>
                <w:sz w:val="21"/>
                <w:lang w:val="en-US" w:eastAsia="zh-CN" w:bidi="ar-SA"/>
              </w:rPr>
              <w:t>提供整体架构设计（含项目总体架构、技术架构、数据结构设计、数据库设计、安全性设计等）的得15分，缺项或不提供不得分。</w:t>
            </w:r>
          </w:p>
        </w:tc>
      </w:tr>
      <w:tr w14:paraId="41CBCF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jc w:val="center"/>
        </w:trPr>
        <w:tc>
          <w:tcPr>
            <w:tcW w:w="547" w:type="pct"/>
            <w:vMerge w:val="continue"/>
            <w:noWrap w:val="0"/>
            <w:vAlign w:val="center"/>
          </w:tcPr>
          <w:p w14:paraId="13BD4E61">
            <w:pPr>
              <w:jc w:val="center"/>
              <w:rPr>
                <w:rFonts w:ascii="宋体" w:hAnsi="宋体"/>
                <w:color w:val="auto"/>
                <w:szCs w:val="21"/>
                <w:highlight w:val="none"/>
              </w:rPr>
            </w:pPr>
          </w:p>
        </w:tc>
        <w:tc>
          <w:tcPr>
            <w:tcW w:w="484" w:type="pct"/>
            <w:noWrap w:val="0"/>
            <w:vAlign w:val="center"/>
          </w:tcPr>
          <w:p w14:paraId="66D53A92">
            <w:pPr>
              <w:widowControl/>
              <w:jc w:val="center"/>
              <w:rPr>
                <w:rFonts w:ascii="宋体" w:hAnsi="宋体"/>
                <w:color w:val="0000FF"/>
                <w:szCs w:val="21"/>
                <w:highlight w:val="none"/>
              </w:rPr>
            </w:pPr>
            <w:r>
              <w:rPr>
                <w:rFonts w:hint="eastAsia" w:ascii="宋体" w:hAnsi="宋体"/>
                <w:szCs w:val="21"/>
              </w:rPr>
              <w:t>施工组织方案</w:t>
            </w:r>
          </w:p>
        </w:tc>
        <w:tc>
          <w:tcPr>
            <w:tcW w:w="388" w:type="pct"/>
            <w:noWrap w:val="0"/>
            <w:vAlign w:val="center"/>
          </w:tcPr>
          <w:p w14:paraId="68618975">
            <w:pPr>
              <w:jc w:val="center"/>
              <w:rPr>
                <w:rFonts w:ascii="宋体" w:hAnsi="宋体"/>
                <w:color w:val="0000FF"/>
                <w:szCs w:val="21"/>
                <w:highlight w:val="none"/>
              </w:rPr>
            </w:pPr>
            <w:r>
              <w:rPr>
                <w:rFonts w:ascii="宋体" w:hAnsi="宋体"/>
                <w:szCs w:val="21"/>
              </w:rPr>
              <w:t>1</w:t>
            </w:r>
            <w:r>
              <w:rPr>
                <w:rFonts w:hint="eastAsia" w:ascii="宋体" w:hAnsi="宋体"/>
                <w:szCs w:val="21"/>
              </w:rPr>
              <w:t>5</w:t>
            </w:r>
          </w:p>
        </w:tc>
        <w:tc>
          <w:tcPr>
            <w:tcW w:w="3579" w:type="pct"/>
            <w:noWrap w:val="0"/>
            <w:vAlign w:val="center"/>
          </w:tcPr>
          <w:p w14:paraId="2D12ECCD">
            <w:pPr>
              <w:rPr>
                <w:rFonts w:hint="eastAsia" w:ascii="Times New Roman" w:hAnsi="Times New Roman" w:eastAsia="宋体" w:cs="Times New Roman"/>
                <w:kern w:val="2"/>
                <w:sz w:val="21"/>
                <w:lang w:val="en-US" w:eastAsia="zh-CN" w:bidi="ar-SA"/>
              </w:rPr>
            </w:pPr>
            <w:r>
              <w:rPr>
                <w:rFonts w:hint="eastAsia" w:ascii="Times New Roman" w:hAnsi="Times New Roman" w:eastAsia="宋体" w:cs="Times New Roman"/>
                <w:kern w:val="2"/>
                <w:sz w:val="21"/>
                <w:lang w:val="en-US" w:eastAsia="zh-CN" w:bidi="ar-SA"/>
              </w:rPr>
              <w:t>针对本项目，投标人提供完整的施工组织方案（包括组织保障、技术保障、质量保障、安全保障、进度保障等）的得15分，缺项或不提供不得分。</w:t>
            </w:r>
          </w:p>
        </w:tc>
      </w:tr>
      <w:tr w14:paraId="1F300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91" w:hRule="atLeast"/>
          <w:jc w:val="center"/>
        </w:trPr>
        <w:tc>
          <w:tcPr>
            <w:tcW w:w="547" w:type="pct"/>
            <w:vMerge w:val="continue"/>
            <w:noWrap w:val="0"/>
            <w:vAlign w:val="center"/>
          </w:tcPr>
          <w:p w14:paraId="39AFBF46">
            <w:pPr>
              <w:jc w:val="center"/>
              <w:rPr>
                <w:rFonts w:ascii="宋体" w:hAnsi="宋体"/>
                <w:color w:val="auto"/>
                <w:szCs w:val="21"/>
                <w:highlight w:val="none"/>
              </w:rPr>
            </w:pPr>
          </w:p>
        </w:tc>
        <w:tc>
          <w:tcPr>
            <w:tcW w:w="484" w:type="pct"/>
            <w:noWrap w:val="0"/>
            <w:vAlign w:val="center"/>
          </w:tcPr>
          <w:p w14:paraId="474D6E60">
            <w:pPr>
              <w:jc w:val="center"/>
              <w:rPr>
                <w:rFonts w:ascii="宋体" w:hAnsi="宋体"/>
                <w:color w:val="0000FF"/>
                <w:szCs w:val="21"/>
                <w:highlight w:val="none"/>
              </w:rPr>
            </w:pPr>
            <w:r>
              <w:rPr>
                <w:rFonts w:hint="eastAsia" w:ascii="宋体" w:hAnsi="宋体"/>
                <w:szCs w:val="21"/>
              </w:rPr>
              <w:t>培训方案</w:t>
            </w:r>
          </w:p>
        </w:tc>
        <w:tc>
          <w:tcPr>
            <w:tcW w:w="388" w:type="pct"/>
            <w:noWrap w:val="0"/>
            <w:vAlign w:val="center"/>
          </w:tcPr>
          <w:p w14:paraId="4E86A685">
            <w:pPr>
              <w:jc w:val="center"/>
              <w:rPr>
                <w:rFonts w:hint="eastAsia" w:ascii="宋体" w:hAnsi="宋体"/>
                <w:color w:val="0000FF"/>
                <w:szCs w:val="21"/>
                <w:highlight w:val="none"/>
              </w:rPr>
            </w:pPr>
            <w:r>
              <w:rPr>
                <w:rFonts w:hint="eastAsia" w:ascii="宋体" w:hAnsi="宋体"/>
                <w:szCs w:val="21"/>
              </w:rPr>
              <w:t>15</w:t>
            </w:r>
          </w:p>
        </w:tc>
        <w:tc>
          <w:tcPr>
            <w:tcW w:w="3579" w:type="pct"/>
            <w:noWrap w:val="0"/>
            <w:vAlign w:val="center"/>
          </w:tcPr>
          <w:p w14:paraId="6DB99BA1">
            <w:pPr>
              <w:rPr>
                <w:rFonts w:hint="eastAsia" w:ascii="Times New Roman" w:hAnsi="Times New Roman" w:eastAsia="宋体" w:cs="Times New Roman"/>
                <w:kern w:val="2"/>
                <w:sz w:val="21"/>
                <w:lang w:val="en-US" w:eastAsia="zh-CN" w:bidi="ar-SA"/>
              </w:rPr>
            </w:pPr>
            <w:r>
              <w:rPr>
                <w:rFonts w:hint="eastAsia" w:ascii="Times New Roman" w:hAnsi="Times New Roman" w:eastAsia="宋体" w:cs="Times New Roman"/>
                <w:kern w:val="2"/>
                <w:sz w:val="21"/>
                <w:lang w:val="en-US" w:eastAsia="zh-CN" w:bidi="ar-SA"/>
              </w:rPr>
              <w:t>针对本项目，投标人提供完整的培训方案（包含培训内容、培训计划、事项配置、事项操作、业务受理）的得15分，缺一项扣3分。</w:t>
            </w:r>
          </w:p>
        </w:tc>
      </w:tr>
      <w:tr w14:paraId="17343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75" w:hRule="atLeast"/>
          <w:jc w:val="center"/>
        </w:trPr>
        <w:tc>
          <w:tcPr>
            <w:tcW w:w="547" w:type="pct"/>
            <w:vMerge w:val="continue"/>
            <w:noWrap w:val="0"/>
            <w:vAlign w:val="center"/>
          </w:tcPr>
          <w:p w14:paraId="692A4E1F">
            <w:pPr>
              <w:jc w:val="center"/>
              <w:rPr>
                <w:rFonts w:ascii="宋体" w:hAnsi="宋体"/>
                <w:color w:val="auto"/>
                <w:szCs w:val="21"/>
                <w:highlight w:val="none"/>
              </w:rPr>
            </w:pPr>
          </w:p>
        </w:tc>
        <w:tc>
          <w:tcPr>
            <w:tcW w:w="484" w:type="pct"/>
            <w:noWrap w:val="0"/>
            <w:vAlign w:val="center"/>
          </w:tcPr>
          <w:p w14:paraId="69CB62A0">
            <w:pPr>
              <w:jc w:val="center"/>
              <w:rPr>
                <w:rFonts w:hint="eastAsia" w:ascii="宋体" w:hAnsi="宋体"/>
                <w:color w:val="auto"/>
                <w:szCs w:val="21"/>
                <w:highlight w:val="none"/>
              </w:rPr>
            </w:pPr>
            <w:r>
              <w:rPr>
                <w:rFonts w:hint="eastAsia" w:ascii="宋体" w:hAnsi="宋体"/>
                <w:szCs w:val="21"/>
              </w:rPr>
              <w:t>人员配备方案</w:t>
            </w:r>
          </w:p>
        </w:tc>
        <w:tc>
          <w:tcPr>
            <w:tcW w:w="388" w:type="pct"/>
            <w:noWrap w:val="0"/>
            <w:vAlign w:val="center"/>
          </w:tcPr>
          <w:p w14:paraId="18DDA70B">
            <w:pPr>
              <w:jc w:val="center"/>
              <w:rPr>
                <w:rFonts w:hint="eastAsia" w:ascii="宋体" w:hAnsi="宋体"/>
                <w:color w:val="auto"/>
                <w:szCs w:val="21"/>
                <w:highlight w:val="none"/>
              </w:rPr>
            </w:pPr>
            <w:r>
              <w:rPr>
                <w:rFonts w:hint="eastAsia" w:ascii="宋体" w:hAnsi="宋体"/>
                <w:szCs w:val="21"/>
              </w:rPr>
              <w:t>5</w:t>
            </w:r>
          </w:p>
        </w:tc>
        <w:tc>
          <w:tcPr>
            <w:tcW w:w="3579" w:type="pct"/>
            <w:noWrap w:val="0"/>
            <w:vAlign w:val="center"/>
          </w:tcPr>
          <w:p w14:paraId="11DA11D5">
            <w:pPr>
              <w:rPr>
                <w:rFonts w:hint="eastAsia" w:ascii="Times New Roman" w:hAnsi="Times New Roman" w:eastAsia="宋体" w:cs="Times New Roman"/>
                <w:kern w:val="2"/>
                <w:sz w:val="21"/>
                <w:lang w:val="en-US" w:eastAsia="zh-CN" w:bidi="ar-SA"/>
              </w:rPr>
            </w:pPr>
            <w:r>
              <w:rPr>
                <w:rFonts w:hint="eastAsia" w:ascii="Times New Roman" w:hAnsi="Times New Roman" w:eastAsia="宋体" w:cs="Times New Roman"/>
                <w:kern w:val="2"/>
                <w:sz w:val="21"/>
                <w:lang w:val="en-US" w:eastAsia="zh-CN" w:bidi="ar-SA"/>
              </w:rPr>
              <w:t>提供人员配备方案的得5分，不提供不得分。</w:t>
            </w:r>
          </w:p>
          <w:p w14:paraId="445CBE99">
            <w:pPr>
              <w:rPr>
                <w:rFonts w:hint="eastAsia" w:ascii="Times New Roman" w:hAnsi="Times New Roman" w:eastAsia="宋体" w:cs="Times New Roman"/>
                <w:kern w:val="2"/>
                <w:sz w:val="21"/>
                <w:lang w:val="en-US" w:eastAsia="zh-CN" w:bidi="ar-SA"/>
              </w:rPr>
            </w:pPr>
            <w:r>
              <w:rPr>
                <w:rFonts w:hint="eastAsia" w:ascii="Times New Roman" w:hAnsi="Times New Roman" w:eastAsia="宋体" w:cs="Times New Roman"/>
                <w:kern w:val="2"/>
                <w:sz w:val="21"/>
                <w:lang w:val="en-US" w:eastAsia="zh-CN" w:bidi="ar-SA"/>
              </w:rPr>
              <w:t>注：须提供投标人为其缴纳近6个月内连续3个月的社会保险证明扫描件。依法免税或不需要缴纳社会保障资金的供应商，应提供相应证明文件，新成立的公司从成立之日起。</w:t>
            </w:r>
          </w:p>
          <w:p w14:paraId="0EBA08AA">
            <w:pPr>
              <w:rPr>
                <w:rFonts w:hint="eastAsia" w:ascii="Times New Roman" w:hAnsi="Times New Roman" w:eastAsia="宋体" w:cs="Times New Roman"/>
                <w:kern w:val="2"/>
                <w:sz w:val="21"/>
                <w:lang w:val="en-US" w:eastAsia="zh-CN" w:bidi="ar-SA"/>
              </w:rPr>
            </w:pPr>
          </w:p>
        </w:tc>
      </w:tr>
      <w:tr w14:paraId="6A5F0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547" w:type="pct"/>
            <w:vMerge w:val="restart"/>
            <w:noWrap w:val="0"/>
            <w:vAlign w:val="center"/>
          </w:tcPr>
          <w:p w14:paraId="2FD35BC4">
            <w:pPr>
              <w:jc w:val="center"/>
              <w:rPr>
                <w:rFonts w:ascii="宋体" w:hAnsi="宋体"/>
                <w:color w:val="auto"/>
                <w:szCs w:val="21"/>
                <w:highlight w:val="none"/>
              </w:rPr>
            </w:pPr>
            <w:r>
              <w:rPr>
                <w:rFonts w:hint="eastAsia" w:ascii="宋体" w:hAnsi="宋体"/>
                <w:color w:val="auto"/>
                <w:szCs w:val="21"/>
                <w:highlight w:val="none"/>
              </w:rPr>
              <w:t>商务部分</w:t>
            </w:r>
            <w:r>
              <w:rPr>
                <w:rFonts w:ascii="宋体" w:hAnsi="宋体"/>
                <w:color w:val="auto"/>
                <w:szCs w:val="21"/>
                <w:highlight w:val="none"/>
              </w:rPr>
              <w:t>20</w:t>
            </w:r>
            <w:r>
              <w:rPr>
                <w:rFonts w:hint="eastAsia" w:ascii="宋体" w:hAnsi="宋体"/>
                <w:color w:val="auto"/>
                <w:szCs w:val="21"/>
                <w:highlight w:val="none"/>
              </w:rPr>
              <w:t>分</w:t>
            </w:r>
          </w:p>
        </w:tc>
        <w:tc>
          <w:tcPr>
            <w:tcW w:w="484" w:type="pct"/>
            <w:noWrap w:val="0"/>
            <w:vAlign w:val="center"/>
          </w:tcPr>
          <w:p w14:paraId="777E4AD9">
            <w:pPr>
              <w:jc w:val="center"/>
              <w:rPr>
                <w:rFonts w:hint="eastAsia" w:ascii="宋体" w:hAnsi="宋体"/>
                <w:color w:val="0000FF"/>
                <w:szCs w:val="21"/>
                <w:highlight w:val="none"/>
              </w:rPr>
            </w:pPr>
            <w:r>
              <w:rPr>
                <w:rFonts w:hint="eastAsia" w:ascii="宋体" w:hAnsi="宋体"/>
                <w:szCs w:val="21"/>
              </w:rPr>
              <w:t>售后服务方案</w:t>
            </w:r>
          </w:p>
        </w:tc>
        <w:tc>
          <w:tcPr>
            <w:tcW w:w="388" w:type="pct"/>
            <w:noWrap w:val="0"/>
            <w:vAlign w:val="center"/>
          </w:tcPr>
          <w:p w14:paraId="2F5A8402">
            <w:pPr>
              <w:jc w:val="center"/>
              <w:rPr>
                <w:rFonts w:hint="eastAsia" w:ascii="宋体" w:hAnsi="宋体"/>
                <w:color w:val="0000FF"/>
                <w:szCs w:val="21"/>
                <w:highlight w:val="none"/>
              </w:rPr>
            </w:pPr>
            <w:r>
              <w:rPr>
                <w:rFonts w:hint="eastAsia" w:ascii="宋体" w:hAnsi="宋体"/>
                <w:szCs w:val="21"/>
              </w:rPr>
              <w:t>1</w:t>
            </w:r>
            <w:r>
              <w:rPr>
                <w:rFonts w:ascii="宋体" w:hAnsi="宋体"/>
                <w:szCs w:val="21"/>
              </w:rPr>
              <w:t>0</w:t>
            </w:r>
          </w:p>
        </w:tc>
        <w:tc>
          <w:tcPr>
            <w:tcW w:w="3579" w:type="pct"/>
            <w:noWrap w:val="0"/>
            <w:vAlign w:val="center"/>
          </w:tcPr>
          <w:p w14:paraId="38CB773D">
            <w:pPr>
              <w:pStyle w:val="26"/>
              <w:ind w:firstLine="210"/>
              <w:rPr>
                <w:rFonts w:hint="eastAsia" w:ascii="Times New Roman" w:hAnsi="Times New Roman" w:eastAsia="宋体" w:cs="Times New Roman"/>
                <w:kern w:val="2"/>
                <w:sz w:val="21"/>
                <w:lang w:val="en-US" w:eastAsia="zh-CN" w:bidi="ar-SA"/>
              </w:rPr>
            </w:pPr>
            <w:r>
              <w:rPr>
                <w:rFonts w:hint="eastAsia" w:ascii="Times New Roman" w:hAnsi="Times New Roman" w:eastAsia="宋体" w:cs="Times New Roman"/>
                <w:kern w:val="2"/>
                <w:sz w:val="21"/>
                <w:lang w:val="en-US" w:eastAsia="zh-CN" w:bidi="ar-SA"/>
              </w:rPr>
              <w:t xml:space="preserve">提供售后服务方案方案内容包含但不限于：①系统功能设计、②服务体系、③服务保障标准、④服务响应及故障处理，提供齐全的得 8 分，缺项或不提供不得分。 </w:t>
            </w:r>
          </w:p>
          <w:p w14:paraId="6E36FFA7">
            <w:pPr>
              <w:pStyle w:val="26"/>
              <w:ind w:firstLine="210" w:firstLineChars="100"/>
              <w:rPr>
                <w:rFonts w:hint="eastAsia" w:ascii="Times New Roman" w:hAnsi="Times New Roman" w:eastAsia="宋体" w:cs="Times New Roman"/>
                <w:kern w:val="2"/>
                <w:sz w:val="21"/>
                <w:lang w:val="en-US" w:eastAsia="zh-CN" w:bidi="ar-SA"/>
              </w:rPr>
            </w:pPr>
            <w:r>
              <w:rPr>
                <w:rFonts w:hint="eastAsia" w:ascii="Times New Roman" w:hAnsi="Times New Roman" w:eastAsia="宋体" w:cs="Times New Roman"/>
                <w:kern w:val="2"/>
                <w:sz w:val="21"/>
                <w:lang w:val="en-US" w:eastAsia="zh-CN" w:bidi="ar-SA"/>
              </w:rPr>
              <w:t>提供满足使用需求相关的实质性优惠条件，包括却不限于提供相关配套设备、备品备件。提供齐全的得 2 分，缺项或不提供不得分</w:t>
            </w:r>
          </w:p>
        </w:tc>
      </w:tr>
      <w:tr w14:paraId="394F0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547" w:type="pct"/>
            <w:vMerge w:val="continue"/>
            <w:noWrap w:val="0"/>
            <w:vAlign w:val="center"/>
          </w:tcPr>
          <w:p w14:paraId="68F2EBE3">
            <w:pPr>
              <w:jc w:val="center"/>
              <w:rPr>
                <w:rFonts w:ascii="宋体" w:hAnsi="宋体"/>
                <w:color w:val="auto"/>
                <w:szCs w:val="21"/>
                <w:highlight w:val="none"/>
              </w:rPr>
            </w:pPr>
          </w:p>
        </w:tc>
        <w:tc>
          <w:tcPr>
            <w:tcW w:w="484" w:type="pct"/>
            <w:noWrap w:val="0"/>
            <w:vAlign w:val="center"/>
          </w:tcPr>
          <w:p w14:paraId="19C56C3A">
            <w:pPr>
              <w:jc w:val="center"/>
              <w:rPr>
                <w:rFonts w:hint="eastAsia" w:ascii="宋体" w:hAnsi="宋体"/>
                <w:color w:val="auto"/>
                <w:szCs w:val="21"/>
                <w:highlight w:val="none"/>
              </w:rPr>
            </w:pPr>
            <w:r>
              <w:rPr>
                <w:rFonts w:hint="eastAsia" w:ascii="宋体" w:hAnsi="宋体"/>
                <w:szCs w:val="21"/>
              </w:rPr>
              <w:t>支撑响应</w:t>
            </w:r>
          </w:p>
        </w:tc>
        <w:tc>
          <w:tcPr>
            <w:tcW w:w="388" w:type="pct"/>
            <w:noWrap w:val="0"/>
            <w:vAlign w:val="center"/>
          </w:tcPr>
          <w:p w14:paraId="701E0DA7">
            <w:pPr>
              <w:jc w:val="center"/>
              <w:rPr>
                <w:rFonts w:hint="eastAsia" w:ascii="宋体" w:hAnsi="宋体"/>
                <w:color w:val="auto"/>
                <w:szCs w:val="21"/>
                <w:highlight w:val="none"/>
              </w:rPr>
            </w:pPr>
            <w:r>
              <w:rPr>
                <w:rFonts w:hint="eastAsia" w:ascii="宋体" w:hAnsi="宋体"/>
                <w:szCs w:val="21"/>
              </w:rPr>
              <w:t>5</w:t>
            </w:r>
          </w:p>
        </w:tc>
        <w:tc>
          <w:tcPr>
            <w:tcW w:w="3579" w:type="pct"/>
            <w:noWrap w:val="0"/>
            <w:vAlign w:val="top"/>
          </w:tcPr>
          <w:p w14:paraId="3FAB0EFB">
            <w:pPr>
              <w:rPr>
                <w:rFonts w:hint="eastAsia" w:ascii="Times New Roman" w:hAnsi="Times New Roman" w:eastAsia="宋体" w:cs="Times New Roman"/>
                <w:kern w:val="2"/>
                <w:sz w:val="21"/>
                <w:lang w:val="en-US" w:eastAsia="zh-CN" w:bidi="ar-SA"/>
              </w:rPr>
            </w:pPr>
            <w:r>
              <w:rPr>
                <w:rFonts w:hint="eastAsia" w:ascii="Times New Roman" w:hAnsi="Times New Roman" w:eastAsia="宋体" w:cs="Times New Roman"/>
                <w:kern w:val="2"/>
                <w:sz w:val="21"/>
                <w:lang w:val="en-US" w:eastAsia="zh-CN" w:bidi="ar-SA"/>
              </w:rPr>
              <w:t>响应供应商需承诺当采购人有应急服务需求时，响应供应商在接到通知后，在1小时内做出响应，6个小时到达服务现场。在此基础上每提前0.5个小时到达现场加1分，提前不足0.5小时不加分，本项满分5分，未提供承诺不得分</w:t>
            </w:r>
          </w:p>
        </w:tc>
      </w:tr>
      <w:tr w14:paraId="3E6F2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 w:hRule="atLeast"/>
          <w:jc w:val="center"/>
        </w:trPr>
        <w:tc>
          <w:tcPr>
            <w:tcW w:w="547" w:type="pct"/>
            <w:vMerge w:val="continue"/>
            <w:noWrap w:val="0"/>
            <w:vAlign w:val="center"/>
          </w:tcPr>
          <w:p w14:paraId="0CE6A715">
            <w:pPr>
              <w:jc w:val="center"/>
              <w:rPr>
                <w:rFonts w:ascii="宋体" w:hAnsi="宋体"/>
                <w:color w:val="auto"/>
                <w:szCs w:val="21"/>
                <w:highlight w:val="none"/>
              </w:rPr>
            </w:pPr>
          </w:p>
        </w:tc>
        <w:tc>
          <w:tcPr>
            <w:tcW w:w="484" w:type="pct"/>
            <w:noWrap w:val="0"/>
            <w:vAlign w:val="center"/>
          </w:tcPr>
          <w:p w14:paraId="0D061AA5">
            <w:pPr>
              <w:jc w:val="center"/>
              <w:rPr>
                <w:rFonts w:hint="eastAsia" w:ascii="宋体" w:hAnsi="宋体"/>
                <w:color w:val="auto"/>
                <w:szCs w:val="21"/>
                <w:highlight w:val="none"/>
              </w:rPr>
            </w:pPr>
            <w:r>
              <w:rPr>
                <w:rFonts w:hint="eastAsia" w:ascii="宋体" w:hAnsi="宋体"/>
                <w:szCs w:val="21"/>
              </w:rPr>
              <w:t>企业实力</w:t>
            </w:r>
          </w:p>
        </w:tc>
        <w:tc>
          <w:tcPr>
            <w:tcW w:w="388" w:type="pct"/>
            <w:noWrap w:val="0"/>
            <w:vAlign w:val="center"/>
          </w:tcPr>
          <w:p w14:paraId="52E6918A">
            <w:pPr>
              <w:jc w:val="center"/>
              <w:rPr>
                <w:rFonts w:hint="eastAsia" w:ascii="宋体" w:hAnsi="宋体"/>
                <w:color w:val="auto"/>
                <w:szCs w:val="21"/>
                <w:highlight w:val="none"/>
              </w:rPr>
            </w:pPr>
            <w:r>
              <w:rPr>
                <w:rFonts w:hint="eastAsia" w:ascii="宋体" w:hAnsi="宋体"/>
                <w:szCs w:val="21"/>
              </w:rPr>
              <w:t>5</w:t>
            </w:r>
          </w:p>
        </w:tc>
        <w:tc>
          <w:tcPr>
            <w:tcW w:w="3579" w:type="pct"/>
            <w:noWrap w:val="0"/>
            <w:vAlign w:val="center"/>
          </w:tcPr>
          <w:p w14:paraId="70DD2502">
            <w:pPr>
              <w:pStyle w:val="26"/>
              <w:ind w:firstLine="0" w:firstLineChars="0"/>
              <w:rPr>
                <w:rFonts w:hint="eastAsia" w:ascii="Times New Roman" w:hAnsi="Times New Roman" w:eastAsia="宋体" w:cs="Times New Roman"/>
                <w:kern w:val="2"/>
                <w:sz w:val="21"/>
                <w:lang w:val="en-US" w:eastAsia="zh-CN" w:bidi="ar-SA"/>
              </w:rPr>
            </w:pPr>
            <w:r>
              <w:rPr>
                <w:rFonts w:hint="eastAsia" w:ascii="Times New Roman" w:hAnsi="Times New Roman" w:eastAsia="宋体" w:cs="Times New Roman"/>
                <w:kern w:val="2"/>
                <w:sz w:val="21"/>
                <w:lang w:val="en-US" w:eastAsia="zh-CN" w:bidi="ar-SA"/>
              </w:rPr>
              <w:t>投标人自2024年1月1日（含）至本项目公告发布之日签订的同类政务服务信息化合同（以合同签订时间为准），提供一份得5分，最高得5分。</w:t>
            </w:r>
          </w:p>
          <w:p w14:paraId="3F8D7884">
            <w:pPr>
              <w:pStyle w:val="26"/>
              <w:ind w:firstLine="0" w:firstLineChars="0"/>
              <w:rPr>
                <w:rFonts w:hint="eastAsia" w:ascii="Times New Roman" w:hAnsi="Times New Roman" w:eastAsia="宋体" w:cs="Times New Roman"/>
                <w:kern w:val="2"/>
                <w:sz w:val="21"/>
                <w:lang w:val="en-US" w:eastAsia="zh-CN" w:bidi="ar-SA"/>
              </w:rPr>
            </w:pPr>
            <w:r>
              <w:rPr>
                <w:rFonts w:hint="eastAsia" w:ascii="Times New Roman" w:hAnsi="Times New Roman" w:eastAsia="宋体" w:cs="Times New Roman"/>
                <w:kern w:val="2"/>
                <w:sz w:val="21"/>
                <w:lang w:val="en-US" w:eastAsia="zh-CN" w:bidi="ar-SA"/>
              </w:rPr>
              <w:t>注：以上业绩证明材料需提供中标通知书、合同复印件或扫描件、中标公示网页截图并加盖投标人公章，三者缺一不可，不提供不得分。</w:t>
            </w:r>
          </w:p>
        </w:tc>
      </w:tr>
      <w:tr w14:paraId="66D05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jc w:val="center"/>
        </w:trPr>
        <w:tc>
          <w:tcPr>
            <w:tcW w:w="1031" w:type="pct"/>
            <w:gridSpan w:val="2"/>
            <w:noWrap w:val="0"/>
            <w:vAlign w:val="center"/>
          </w:tcPr>
          <w:p w14:paraId="792FC92F">
            <w:pPr>
              <w:jc w:val="center"/>
              <w:rPr>
                <w:rFonts w:ascii="宋体" w:hAnsi="宋体"/>
                <w:color w:val="auto"/>
                <w:szCs w:val="21"/>
                <w:highlight w:val="none"/>
              </w:rPr>
            </w:pPr>
            <w:r>
              <w:rPr>
                <w:rFonts w:hint="eastAsia" w:ascii="宋体" w:hAnsi="宋体"/>
                <w:color w:val="auto"/>
                <w:szCs w:val="21"/>
                <w:highlight w:val="none"/>
              </w:rPr>
              <w:t>总分</w:t>
            </w:r>
          </w:p>
        </w:tc>
        <w:tc>
          <w:tcPr>
            <w:tcW w:w="388" w:type="pct"/>
            <w:noWrap w:val="0"/>
            <w:vAlign w:val="center"/>
          </w:tcPr>
          <w:p w14:paraId="6F40B6C4">
            <w:pPr>
              <w:jc w:val="center"/>
              <w:rPr>
                <w:rFonts w:ascii="宋体" w:hAnsi="宋体"/>
                <w:color w:val="auto"/>
                <w:szCs w:val="21"/>
                <w:highlight w:val="none"/>
              </w:rPr>
            </w:pPr>
            <w:r>
              <w:rPr>
                <w:rFonts w:hint="eastAsia" w:ascii="宋体" w:hAnsi="宋体"/>
                <w:color w:val="auto"/>
                <w:szCs w:val="21"/>
                <w:highlight w:val="none"/>
              </w:rPr>
              <w:t>100</w:t>
            </w:r>
          </w:p>
        </w:tc>
        <w:tc>
          <w:tcPr>
            <w:tcW w:w="3579" w:type="pct"/>
            <w:noWrap w:val="0"/>
            <w:vAlign w:val="center"/>
          </w:tcPr>
          <w:p w14:paraId="1B652CA4">
            <w:pPr>
              <w:ind w:firstLine="420"/>
              <w:rPr>
                <w:rFonts w:ascii="宋体" w:hAnsi="宋体"/>
                <w:color w:val="auto"/>
                <w:szCs w:val="21"/>
                <w:highlight w:val="none"/>
              </w:rPr>
            </w:pPr>
          </w:p>
        </w:tc>
      </w:tr>
    </w:tbl>
    <w:p w14:paraId="50ED5E54">
      <w:pPr>
        <w:pStyle w:val="19"/>
        <w:spacing w:before="0" w:beforeAutospacing="0" w:after="0" w:afterAutospacing="0"/>
        <w:contextualSpacing/>
        <w:jc w:val="center"/>
        <w:rPr>
          <w:rFonts w:hint="eastAsia" w:ascii="宋体" w:hAnsi="宋体" w:eastAsia="宋体" w:cs="宋体"/>
          <w:color w:val="auto"/>
          <w:sz w:val="32"/>
          <w:szCs w:val="32"/>
          <w:highlight w:val="none"/>
        </w:rPr>
      </w:pPr>
    </w:p>
    <w:bookmarkEnd w:id="51"/>
    <w:p w14:paraId="0F19EF3F">
      <w:pPr>
        <w:pStyle w:val="11"/>
        <w:spacing w:line="360" w:lineRule="auto"/>
        <w:ind w:right="-10" w:firstLine="482" w:firstLineChars="200"/>
        <w:rPr>
          <w:rFonts w:hint="eastAsia" w:ascii="宋体" w:hAnsi="宋体" w:eastAsia="宋体" w:cs="宋体"/>
          <w:b/>
          <w:color w:val="auto"/>
          <w:kern w:val="1"/>
          <w:sz w:val="24"/>
          <w:highlight w:val="none"/>
        </w:rPr>
      </w:pPr>
      <w:r>
        <w:rPr>
          <w:rFonts w:hint="eastAsia" w:ascii="宋体" w:hAnsi="宋体" w:eastAsia="宋体" w:cs="宋体"/>
          <w:b/>
          <w:color w:val="auto"/>
          <w:kern w:val="1"/>
          <w:sz w:val="24"/>
          <w:highlight w:val="none"/>
        </w:rPr>
        <w:t>注：评标结束后，由采购人对评审结果及响应文件等进行复核，并在法定的时间内确定中标人。</w:t>
      </w:r>
    </w:p>
    <w:p w14:paraId="5EA0E98B">
      <w:pPr>
        <w:adjustRightInd w:val="0"/>
        <w:snapToGrid w:val="0"/>
        <w:spacing w:line="360" w:lineRule="auto"/>
        <w:ind w:right="-1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1、依据中华人民共和国财政部令第87号令《政府采购货物和服务招标投标管理办法》第三十一条要求，不同投标人所投核心产品对应品牌完全相同且通过资格审查、符合性审查的，将按照一家投标人计算。审后得分最高的同品牌投标人获得中标人推荐资格；评审得分相同的，按照除价格分外得分最高（商务+技术参数）的同品牌投标人获得中标人推荐资格，其他同品牌投标人不作为中标候选人</w:t>
      </w:r>
    </w:p>
    <w:p w14:paraId="4B674979">
      <w:pPr>
        <w:adjustRightInd w:val="0"/>
        <w:snapToGrid w:val="0"/>
        <w:spacing w:line="360" w:lineRule="auto"/>
        <w:ind w:right="-10" w:firstLine="480" w:firstLineChars="200"/>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2、按照周口市交易中心规定，本项目投标人所需提供原件在评标时无需提供，仅作为采购单位核实时使用，评审委员会评审时仅以投标人投标文件中扫描件为准。</w:t>
      </w:r>
    </w:p>
    <w:p w14:paraId="36CA2788">
      <w:pPr>
        <w:pStyle w:val="11"/>
        <w:spacing w:line="360" w:lineRule="auto"/>
        <w:ind w:right="-10" w:firstLine="482" w:firstLineChars="200"/>
        <w:rPr>
          <w:rFonts w:hint="eastAsia" w:ascii="宋体" w:hAnsi="宋体" w:eastAsia="宋体" w:cs="宋体"/>
          <w:bCs/>
          <w:color w:val="auto"/>
          <w:sz w:val="24"/>
          <w:highlight w:val="none"/>
        </w:rPr>
      </w:pPr>
      <w:r>
        <w:rPr>
          <w:rFonts w:hint="eastAsia" w:ascii="宋体" w:hAnsi="宋体" w:eastAsia="宋体" w:cs="宋体"/>
          <w:b/>
          <w:bCs/>
          <w:color w:val="auto"/>
          <w:sz w:val="24"/>
          <w:highlight w:val="none"/>
        </w:rPr>
        <w:t>第十条</w:t>
      </w:r>
      <w:r>
        <w:rPr>
          <w:rFonts w:hint="eastAsia" w:ascii="宋体" w:hAnsi="宋体" w:eastAsia="宋体" w:cs="宋体"/>
          <w:bCs/>
          <w:color w:val="auto"/>
          <w:sz w:val="24"/>
          <w:highlight w:val="none"/>
        </w:rPr>
        <w:t xml:space="preserve"> 评委独立评审后，评委会对投标人某项指标如有不同意见，按照少数服从多数的原则，确定该项指标是否通过。</w:t>
      </w:r>
    </w:p>
    <w:p w14:paraId="673C8B4E">
      <w:pPr>
        <w:spacing w:line="360" w:lineRule="auto"/>
        <w:ind w:firstLine="482" w:firstLineChars="200"/>
        <w:rPr>
          <w:rFonts w:hint="eastAsia" w:ascii="宋体" w:hAnsi="宋体" w:eastAsia="宋体" w:cs="宋体"/>
          <w:bCs/>
          <w:color w:val="auto"/>
          <w:sz w:val="24"/>
          <w:highlight w:val="none"/>
        </w:rPr>
      </w:pPr>
      <w:r>
        <w:rPr>
          <w:rFonts w:hint="eastAsia" w:ascii="宋体" w:hAnsi="宋体" w:eastAsia="宋体" w:cs="宋体"/>
          <w:b/>
          <w:bCs/>
          <w:color w:val="auto"/>
          <w:sz w:val="24"/>
          <w:highlight w:val="none"/>
        </w:rPr>
        <w:t>第十一条</w:t>
      </w:r>
      <w:r>
        <w:rPr>
          <w:rFonts w:hint="eastAsia" w:ascii="宋体" w:hAnsi="宋体" w:eastAsia="宋体" w:cs="宋体"/>
          <w:bCs/>
          <w:color w:val="auto"/>
          <w:sz w:val="24"/>
          <w:highlight w:val="none"/>
        </w:rPr>
        <w:t xml:space="preserve"> 商务、技术满足招标文件要求，综合得分最高的投标人将作为中标候选人。如果综合得分中出现两家或两家以上相同者，投标报价较低者优先中标，报价也相同的，由采购人自行确定。</w:t>
      </w:r>
    </w:p>
    <w:p w14:paraId="66A4F918">
      <w:pPr>
        <w:pStyle w:val="11"/>
        <w:spacing w:line="360" w:lineRule="auto"/>
        <w:ind w:right="-10" w:firstLine="482"/>
        <w:rPr>
          <w:rFonts w:hint="eastAsia" w:ascii="宋体" w:hAnsi="宋体" w:eastAsia="宋体" w:cs="宋体"/>
          <w:bCs/>
          <w:color w:val="auto"/>
          <w:sz w:val="24"/>
          <w:highlight w:val="none"/>
        </w:rPr>
      </w:pPr>
      <w:r>
        <w:rPr>
          <w:rFonts w:hint="eastAsia" w:ascii="宋体" w:hAnsi="宋体" w:eastAsia="宋体" w:cs="宋体"/>
          <w:b/>
          <w:bCs/>
          <w:color w:val="auto"/>
          <w:sz w:val="24"/>
          <w:highlight w:val="none"/>
        </w:rPr>
        <w:t>第十二条</w:t>
      </w:r>
      <w:r>
        <w:rPr>
          <w:rFonts w:hint="eastAsia" w:ascii="宋体" w:hAnsi="宋体" w:eastAsia="宋体" w:cs="宋体"/>
          <w:bCs/>
          <w:color w:val="auto"/>
          <w:sz w:val="24"/>
          <w:highlight w:val="none"/>
        </w:rPr>
        <w:t xml:space="preserve"> 评委会在评标过程中发现的问题，应当及时作出处理或者向采购人提出处理建议，并作书面记录。</w:t>
      </w:r>
    </w:p>
    <w:p w14:paraId="46D2E86B">
      <w:pPr>
        <w:adjustRightInd w:val="0"/>
        <w:snapToGrid w:val="0"/>
        <w:spacing w:line="360" w:lineRule="auto"/>
        <w:ind w:right="-10" w:firstLine="482" w:firstLineChars="200"/>
        <w:rPr>
          <w:rFonts w:hint="eastAsia" w:ascii="宋体" w:hAnsi="宋体" w:eastAsia="宋体" w:cs="宋体"/>
          <w:bCs/>
          <w:color w:val="auto"/>
          <w:sz w:val="24"/>
          <w:highlight w:val="none"/>
        </w:rPr>
      </w:pPr>
      <w:r>
        <w:rPr>
          <w:rFonts w:hint="eastAsia" w:ascii="宋体" w:hAnsi="宋体" w:eastAsia="宋体" w:cs="宋体"/>
          <w:b/>
          <w:bCs/>
          <w:color w:val="auto"/>
          <w:sz w:val="24"/>
          <w:highlight w:val="none"/>
        </w:rPr>
        <w:t>第十三条</w:t>
      </w:r>
      <w:r>
        <w:rPr>
          <w:rFonts w:hint="eastAsia" w:ascii="宋体" w:hAnsi="宋体" w:eastAsia="宋体" w:cs="宋体"/>
          <w:bCs/>
          <w:color w:val="auto"/>
          <w:sz w:val="24"/>
          <w:highlight w:val="none"/>
        </w:rPr>
        <w:t xml:space="preserve"> 评标后，评委会应填写评审记录并签字。评审记录是评委会根据全体评标成员电子签字的原始评标记录和评标结果编制的报告，评委会全体成员均须在评审纪要上电子签字。评审记录应如实记录本次评标的主要过程，全面反映评标过程中的各种不同的意见，以及其他澄清、说明、补正事项。</w:t>
      </w:r>
    </w:p>
    <w:p w14:paraId="1BB7758D">
      <w:pPr>
        <w:rPr>
          <w:rFonts w:hint="eastAsia" w:ascii="宋体" w:hAnsi="宋体" w:eastAsia="宋体" w:cs="宋体"/>
          <w:color w:val="auto"/>
          <w:highlight w:val="none"/>
        </w:rPr>
      </w:pPr>
    </w:p>
    <w:p w14:paraId="691C670D">
      <w:pPr>
        <w:adjustRightInd w:val="0"/>
        <w:snapToGrid w:val="0"/>
        <w:spacing w:line="360" w:lineRule="auto"/>
        <w:jc w:val="center"/>
        <w:rPr>
          <w:rFonts w:hint="eastAsia" w:ascii="宋体" w:hAnsi="宋体" w:eastAsia="宋体" w:cs="宋体"/>
          <w:b/>
          <w:bCs/>
          <w:color w:val="auto"/>
          <w:sz w:val="24"/>
          <w:highlight w:val="none"/>
        </w:rPr>
      </w:pPr>
      <w:bookmarkStart w:id="55" w:name="_Toc40_WPSOffice_Level2"/>
      <w:r>
        <w:rPr>
          <w:rFonts w:hint="eastAsia" w:ascii="宋体" w:hAnsi="宋体" w:eastAsia="宋体" w:cs="宋体"/>
          <w:b/>
          <w:bCs/>
          <w:color w:val="auto"/>
          <w:sz w:val="24"/>
          <w:highlight w:val="none"/>
        </w:rPr>
        <w:t>三．评标纪律</w:t>
      </w:r>
      <w:bookmarkEnd w:id="55"/>
    </w:p>
    <w:p w14:paraId="7C8D6F98">
      <w:pPr>
        <w:adjustRightInd w:val="0"/>
        <w:snapToGrid w:val="0"/>
        <w:spacing w:line="360" w:lineRule="auto"/>
        <w:ind w:right="-10" w:firstLine="482" w:firstLineChars="200"/>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第十四条</w:t>
      </w:r>
      <w:r>
        <w:rPr>
          <w:rFonts w:hint="eastAsia" w:ascii="宋体" w:hAnsi="宋体" w:eastAsia="宋体" w:cs="宋体"/>
          <w:bCs/>
          <w:color w:val="auto"/>
          <w:sz w:val="24"/>
          <w:highlight w:val="none"/>
        </w:rPr>
        <w:t xml:space="preserve"> 评委会和评标工作人员应严格遵守国家的法律、法规和规章制度；</w:t>
      </w:r>
      <w:r>
        <w:rPr>
          <w:rFonts w:hint="eastAsia" w:ascii="宋体" w:hAnsi="宋体" w:eastAsia="宋体" w:cs="宋体"/>
          <w:color w:val="auto"/>
          <w:sz w:val="24"/>
          <w:highlight w:val="none"/>
        </w:rPr>
        <w:t>严格按照本次招标文件进行评标；公正廉洁、不徇私情，不得损害国家利益；保护招、投标人的合法权益。</w:t>
      </w:r>
    </w:p>
    <w:p w14:paraId="5EF00930">
      <w:pPr>
        <w:adjustRightInd w:val="0"/>
        <w:snapToGrid w:val="0"/>
        <w:spacing w:line="360" w:lineRule="auto"/>
        <w:ind w:right="-10" w:firstLine="482" w:firstLineChars="200"/>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 xml:space="preserve">第十五条 </w:t>
      </w:r>
      <w:r>
        <w:rPr>
          <w:rFonts w:hint="eastAsia" w:ascii="宋体" w:hAnsi="宋体" w:eastAsia="宋体" w:cs="宋体"/>
          <w:color w:val="auto"/>
          <w:sz w:val="24"/>
          <w:highlight w:val="none"/>
        </w:rPr>
        <w:t>在评标过程中，评委必须对评标情况严格保密，任何人不得将评标情况透露给与投标人有关的单位和个人。如有违反评标纪律的情况发生，将依据《中华人民共和国政府采购法》及其他有关法律法规的规定，追究有关当事人的责任。</w:t>
      </w:r>
    </w:p>
    <w:p w14:paraId="6EF31403">
      <w:pPr>
        <w:spacing w:line="360" w:lineRule="auto"/>
        <w:ind w:firstLine="482" w:firstLineChars="200"/>
        <w:jc w:val="left"/>
        <w:rPr>
          <w:rFonts w:hint="eastAsia" w:ascii="宋体" w:hAnsi="宋体" w:eastAsia="宋体" w:cs="宋体"/>
          <w:color w:val="auto"/>
          <w:sz w:val="24"/>
          <w:highlight w:val="none"/>
        </w:rPr>
      </w:pPr>
      <w:r>
        <w:rPr>
          <w:rFonts w:hint="eastAsia" w:ascii="宋体" w:hAnsi="宋体" w:eastAsia="宋体" w:cs="宋体"/>
          <w:b/>
          <w:color w:val="auto"/>
          <w:sz w:val="24"/>
          <w:highlight w:val="none"/>
        </w:rPr>
        <w:t>第十六条</w:t>
      </w:r>
      <w:r>
        <w:rPr>
          <w:rFonts w:hint="eastAsia" w:ascii="宋体" w:hAnsi="宋体" w:eastAsia="宋体" w:cs="宋体"/>
          <w:color w:val="auto"/>
          <w:sz w:val="24"/>
          <w:highlight w:val="none"/>
        </w:rPr>
        <w:t xml:space="preserve"> 在招标采购中，出现下列情形之一的，应予废标：</w:t>
      </w:r>
    </w:p>
    <w:p w14:paraId="2E1E169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1.出现影响采购公正的违法、违规行为的。</w:t>
      </w:r>
    </w:p>
    <w:p w14:paraId="7B499D2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2.投标时有弄虚作假的行为。</w:t>
      </w:r>
    </w:p>
    <w:p w14:paraId="2AD0FBBC">
      <w:pPr>
        <w:spacing w:line="360" w:lineRule="auto"/>
        <w:ind w:firstLine="475" w:firstLineChars="197"/>
        <w:rPr>
          <w:rFonts w:hint="eastAsia" w:ascii="宋体" w:hAnsi="宋体" w:eastAsia="宋体" w:cs="宋体"/>
          <w:color w:val="auto"/>
          <w:sz w:val="24"/>
          <w:highlight w:val="none"/>
        </w:rPr>
      </w:pPr>
      <w:r>
        <w:rPr>
          <w:rFonts w:hint="eastAsia" w:ascii="宋体" w:hAnsi="宋体" w:eastAsia="宋体" w:cs="宋体"/>
          <w:b/>
          <w:color w:val="auto"/>
          <w:sz w:val="24"/>
          <w:highlight w:val="none"/>
        </w:rPr>
        <w:t xml:space="preserve">第十七条 </w:t>
      </w:r>
      <w:r>
        <w:rPr>
          <w:rFonts w:hint="eastAsia" w:ascii="宋体" w:hAnsi="宋体" w:eastAsia="宋体" w:cs="宋体"/>
          <w:color w:val="auto"/>
          <w:sz w:val="24"/>
          <w:highlight w:val="none"/>
        </w:rPr>
        <w:t>在投标过程中，出现下列情况之一的，按照无效投标处理：</w:t>
      </w:r>
    </w:p>
    <w:p w14:paraId="0B46BA2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1.未按照招标文件规定要求签署、签章的</w:t>
      </w:r>
      <w:r>
        <w:rPr>
          <w:rFonts w:hint="eastAsia" w:ascii="宋体" w:hAnsi="宋体" w:eastAsia="宋体" w:cs="宋体"/>
          <w:b/>
          <w:color w:val="auto"/>
          <w:sz w:val="24"/>
          <w:highlight w:val="none"/>
        </w:rPr>
        <w:t>（目前，周口市公共资源电子交易平台为每个投标单位只办理了两个CA证书，一个用于单位投标和签章，一个用于法定代表人签章。所以，在投标文件需要电子签章时，投标单位签投标单位电子章，法定代表人签法定代表人电子章；法定代表人有授权代表投标时，出具授权委托书，授权代表的名字直接打印在签章处即可）；</w:t>
      </w:r>
    </w:p>
    <w:p w14:paraId="0916740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2.不具备招标文件中规定资格要求的；</w:t>
      </w:r>
    </w:p>
    <w:p w14:paraId="44BBC973">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3.不符合法律、法规和招标文件中规定的其他实质性要求的。</w:t>
      </w:r>
    </w:p>
    <w:p w14:paraId="5C5835C7">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4.投标人的报价超过了采购预算，采购人不能支付的；</w:t>
      </w:r>
    </w:p>
    <w:p w14:paraId="156B026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5.投标文件附有招标人不能接受的条件；</w:t>
      </w:r>
    </w:p>
    <w:p w14:paraId="4FF308A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6.投标文件中对同一服务或标段提供选择性报价的；</w:t>
      </w:r>
    </w:p>
    <w:p w14:paraId="39F6771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7.商务偏差表或技术偏差表存在弄虚作假的；</w:t>
      </w:r>
    </w:p>
    <w:p w14:paraId="2512D78F">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8.不同供应商的电子投标（响应）文件上传计算机的网卡 MAC 地址、CPU 序列号和硬盘序列号等硬件信息相同的;</w:t>
      </w:r>
    </w:p>
    <w:p w14:paraId="102CFD5A">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9.</w:t>
      </w:r>
      <w:r>
        <w:rPr>
          <w:rFonts w:hint="eastAsia" w:ascii="宋体" w:hAnsi="宋体" w:eastAsia="宋体" w:cs="宋体"/>
          <w:color w:val="auto"/>
          <w:sz w:val="24"/>
          <w:highlight w:val="none"/>
        </w:rPr>
        <w:t>不同供应商的投标（响应）文件由同一电子设备编制，打印</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lang w:val="en-US" w:eastAsia="zh-CN"/>
        </w:rPr>
        <w:t>复印、</w:t>
      </w:r>
      <w:r>
        <w:rPr>
          <w:rFonts w:hint="eastAsia" w:ascii="宋体" w:hAnsi="宋体" w:eastAsia="宋体" w:cs="宋体"/>
          <w:color w:val="auto"/>
          <w:sz w:val="24"/>
          <w:highlight w:val="none"/>
        </w:rPr>
        <w:t>加密或者上传</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w:t>
      </w:r>
    </w:p>
    <w:p w14:paraId="275DD44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10.</w:t>
      </w:r>
      <w:r>
        <w:rPr>
          <w:rFonts w:hint="eastAsia" w:ascii="宋体" w:hAnsi="宋体" w:eastAsia="宋体" w:cs="宋体"/>
          <w:color w:val="auto"/>
          <w:sz w:val="24"/>
          <w:highlight w:val="none"/>
        </w:rPr>
        <w:t>不同供应商的投标（响应）文件由同一人送达或者分发，或者不同供应商联系人为同一人或不同联系人的联系电话一致的；</w:t>
      </w:r>
    </w:p>
    <w:p w14:paraId="1C57AF2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11.</w:t>
      </w:r>
      <w:r>
        <w:rPr>
          <w:rFonts w:hint="eastAsia" w:ascii="宋体" w:hAnsi="宋体" w:eastAsia="宋体" w:cs="宋体"/>
          <w:color w:val="auto"/>
          <w:sz w:val="24"/>
          <w:highlight w:val="none"/>
        </w:rPr>
        <w:t>不同供应商的投标（响应）文件的内容存在两处以上细节错误一致；</w:t>
      </w:r>
    </w:p>
    <w:p w14:paraId="3F280459">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12.</w:t>
      </w:r>
      <w:r>
        <w:rPr>
          <w:rFonts w:hint="eastAsia" w:ascii="宋体" w:hAnsi="宋体" w:eastAsia="宋体" w:cs="宋体"/>
          <w:color w:val="auto"/>
          <w:sz w:val="24"/>
          <w:highlight w:val="none"/>
        </w:rPr>
        <w:t>不同供应商的法定代表人、委托代理人、项目经理、项目负责人等由同一个单位缴纳社会保险或者领取报酬的；</w:t>
      </w:r>
    </w:p>
    <w:p w14:paraId="0BE8F494">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13.</w:t>
      </w:r>
      <w:r>
        <w:rPr>
          <w:rFonts w:hint="eastAsia" w:ascii="宋体" w:hAnsi="宋体" w:eastAsia="宋体" w:cs="宋体"/>
          <w:color w:val="auto"/>
          <w:sz w:val="24"/>
          <w:highlight w:val="none"/>
        </w:rPr>
        <w:t>不同供应商投标（响应）文件中法定代表人或者负责人签字出自同一人之手</w:t>
      </w:r>
      <w:r>
        <w:rPr>
          <w:rFonts w:hint="eastAsia" w:ascii="宋体" w:hAnsi="宋体" w:eastAsia="宋体" w:cs="宋体"/>
          <w:color w:val="auto"/>
          <w:sz w:val="24"/>
          <w:highlight w:val="none"/>
          <w:lang w:eastAsia="zh-CN"/>
        </w:rPr>
        <w:t>。</w:t>
      </w:r>
    </w:p>
    <w:p w14:paraId="4267599F">
      <w:pPr>
        <w:spacing w:line="360" w:lineRule="auto"/>
        <w:ind w:firstLine="480" w:firstLineChars="200"/>
        <w:rPr>
          <w:rFonts w:hint="eastAsia" w:ascii="宋体" w:hAnsi="宋体" w:eastAsia="宋体" w:cs="宋体"/>
          <w:color w:val="auto"/>
          <w:sz w:val="24"/>
          <w:highlight w:val="none"/>
          <w:lang w:eastAsia="zh-CN"/>
        </w:rPr>
      </w:pPr>
      <w:bookmarkStart w:id="56" w:name="OLE_LINK6"/>
      <w:r>
        <w:rPr>
          <w:rFonts w:hint="eastAsia" w:ascii="宋体" w:hAnsi="宋体" w:eastAsia="宋体" w:cs="宋体"/>
          <w:color w:val="auto"/>
          <w:sz w:val="24"/>
          <w:highlight w:val="none"/>
          <w:lang w:val="en-US" w:eastAsia="zh-CN"/>
        </w:rPr>
        <w:t>14.被授权人未附劳动合同的</w:t>
      </w:r>
      <w:r>
        <w:rPr>
          <w:rFonts w:hint="eastAsia" w:ascii="宋体" w:hAnsi="宋体" w:eastAsia="宋体" w:cs="宋体"/>
          <w:color w:val="auto"/>
          <w:sz w:val="24"/>
          <w:highlight w:val="none"/>
          <w:lang w:eastAsia="zh-CN"/>
        </w:rPr>
        <w:t>。</w:t>
      </w:r>
    </w:p>
    <w:p w14:paraId="0320E107">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15.未提供近半年内连续三个月的已依法缴纳税收和社会保障资金的凭证（依法免税或不需要缴纳社会保障资金的供应商应提供相应证明文件）；</w:t>
      </w:r>
    </w:p>
    <w:p w14:paraId="11FCFF22">
      <w:pPr>
        <w:spacing w:line="360" w:lineRule="auto"/>
        <w:ind w:firstLine="480" w:firstLineChars="20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16.</w:t>
      </w:r>
      <w:r>
        <w:rPr>
          <w:rFonts w:hint="eastAsia" w:ascii="宋体" w:hAnsi="宋体" w:eastAsia="宋体" w:cs="宋体"/>
          <w:color w:val="auto"/>
          <w:sz w:val="24"/>
          <w:highlight w:val="none"/>
        </w:rPr>
        <w:t>未提供经会计师事务所或审计机构审计的财务会计报表，包括资产负债表、现金流量表、利润表或针对本项目所开具的资信证明的。</w:t>
      </w:r>
      <w:bookmarkEnd w:id="56"/>
    </w:p>
    <w:p w14:paraId="5F9C79A5">
      <w:pPr>
        <w:spacing w:line="360" w:lineRule="auto"/>
        <w:ind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rPr>
        <w:t>第十</w:t>
      </w:r>
      <w:r>
        <w:rPr>
          <w:rFonts w:hint="eastAsia" w:ascii="宋体" w:hAnsi="宋体" w:eastAsia="宋体" w:cs="宋体"/>
          <w:b/>
          <w:bCs/>
          <w:color w:val="auto"/>
          <w:sz w:val="24"/>
          <w:highlight w:val="none"/>
        </w:rPr>
        <w:t>八</w:t>
      </w:r>
      <w:r>
        <w:rPr>
          <w:rFonts w:hint="eastAsia" w:ascii="宋体" w:hAnsi="宋体" w:eastAsia="宋体" w:cs="宋体"/>
          <w:b/>
          <w:color w:val="auto"/>
          <w:sz w:val="24"/>
          <w:highlight w:val="none"/>
        </w:rPr>
        <w:t xml:space="preserve">条 </w:t>
      </w:r>
      <w:r>
        <w:rPr>
          <w:rFonts w:hint="eastAsia" w:ascii="宋体" w:hAnsi="宋体" w:eastAsia="宋体" w:cs="宋体"/>
          <w:color w:val="auto"/>
          <w:sz w:val="24"/>
          <w:highlight w:val="none"/>
        </w:rPr>
        <w:t>在投标文件中，出现下列情形之一的，其投标有可能被拒绝：</w:t>
      </w:r>
    </w:p>
    <w:p w14:paraId="44DC15DC">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r>
        <w:rPr>
          <w:rFonts w:hint="eastAsia" w:ascii="宋体" w:hAnsi="宋体" w:eastAsia="宋体" w:cs="宋体"/>
          <w:color w:val="auto"/>
          <w:sz w:val="24"/>
          <w:highlight w:val="none"/>
          <w:lang w:val="en-US" w:eastAsia="zh-CN"/>
        </w:rPr>
        <w:t>服务</w:t>
      </w:r>
      <w:r>
        <w:rPr>
          <w:rFonts w:hint="eastAsia" w:ascii="宋体" w:hAnsi="宋体" w:eastAsia="宋体" w:cs="宋体"/>
          <w:color w:val="auto"/>
          <w:sz w:val="24"/>
          <w:highlight w:val="none"/>
        </w:rPr>
        <w:t>工期不确切、不肯定的投标；</w:t>
      </w:r>
    </w:p>
    <w:p w14:paraId="530D0188">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2.对售后服务、付款方式不满足招标文件要求的； </w:t>
      </w:r>
    </w:p>
    <w:p w14:paraId="26A02ECB">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3.投标人没有实质性响应招标文件的要求和条件的；</w:t>
      </w:r>
    </w:p>
    <w:p w14:paraId="18350ED4">
      <w:pPr>
        <w:tabs>
          <w:tab w:val="left" w:pos="2730"/>
        </w:tabs>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4.评标委员会认为投标人的报价明显低于其他通过符合性审查投标人的报价，有可能影响产品质量或者不能诚信履约的；</w:t>
      </w:r>
      <w:r>
        <w:rPr>
          <w:rFonts w:hint="eastAsia" w:ascii="宋体" w:hAnsi="宋体" w:eastAsia="宋体" w:cs="宋体"/>
          <w:color w:val="auto"/>
          <w:sz w:val="24"/>
          <w:highlight w:val="none"/>
          <w:lang w:val="en-US" w:eastAsia="zh-CN"/>
        </w:rPr>
        <w:t>且</w:t>
      </w:r>
      <w:r>
        <w:rPr>
          <w:rFonts w:hint="eastAsia" w:ascii="宋体" w:hAnsi="宋体" w:eastAsia="宋体" w:cs="宋体"/>
          <w:color w:val="auto"/>
          <w:sz w:val="24"/>
          <w:highlight w:val="none"/>
        </w:rPr>
        <w:t>提供</w:t>
      </w:r>
      <w:r>
        <w:rPr>
          <w:rFonts w:hint="eastAsia" w:ascii="宋体" w:hAnsi="宋体" w:eastAsia="宋体" w:cs="宋体"/>
          <w:color w:val="auto"/>
          <w:sz w:val="24"/>
          <w:highlight w:val="none"/>
          <w:lang w:val="en-US" w:eastAsia="zh-CN"/>
        </w:rPr>
        <w:t>的</w:t>
      </w:r>
      <w:r>
        <w:rPr>
          <w:rFonts w:hint="eastAsia" w:ascii="宋体" w:hAnsi="宋体" w:eastAsia="宋体" w:cs="宋体"/>
          <w:color w:val="auto"/>
          <w:sz w:val="24"/>
          <w:highlight w:val="none"/>
        </w:rPr>
        <w:t>书面说明</w:t>
      </w:r>
      <w:r>
        <w:rPr>
          <w:rFonts w:hint="eastAsia" w:ascii="宋体" w:hAnsi="宋体" w:eastAsia="宋体" w:cs="宋体"/>
          <w:color w:val="auto"/>
          <w:sz w:val="24"/>
          <w:highlight w:val="none"/>
          <w:lang w:val="en-US" w:eastAsia="zh-CN"/>
        </w:rPr>
        <w:t>和</w:t>
      </w:r>
      <w:r>
        <w:rPr>
          <w:rFonts w:hint="eastAsia" w:ascii="宋体" w:hAnsi="宋体" w:eastAsia="宋体" w:cs="宋体"/>
          <w:color w:val="auto"/>
          <w:sz w:val="24"/>
          <w:highlight w:val="none"/>
        </w:rPr>
        <w:t>相关证明材料；投标人不能证明其报价合理性的，评标委员会应当将其作为无效投标处理</w:t>
      </w:r>
      <w:r>
        <w:rPr>
          <w:rFonts w:hint="eastAsia" w:ascii="宋体" w:hAnsi="宋体" w:eastAsia="宋体" w:cs="宋体"/>
          <w:color w:val="auto"/>
          <w:sz w:val="24"/>
          <w:highlight w:val="none"/>
          <w:lang w:eastAsia="zh-CN"/>
        </w:rPr>
        <w:t>。</w:t>
      </w:r>
    </w:p>
    <w:p w14:paraId="788A9E96">
      <w:pPr>
        <w:spacing w:line="360" w:lineRule="auto"/>
        <w:ind w:firstLine="482" w:firstLineChars="200"/>
        <w:rPr>
          <w:rFonts w:hint="eastAsia" w:ascii="宋体" w:hAnsi="宋体" w:eastAsia="宋体" w:cs="宋体"/>
          <w:color w:val="auto"/>
          <w:sz w:val="24"/>
          <w:highlight w:val="none"/>
        </w:rPr>
      </w:pPr>
      <w:r>
        <w:rPr>
          <w:rFonts w:hint="eastAsia" w:ascii="宋体" w:hAnsi="宋体" w:eastAsia="宋体" w:cs="宋体"/>
          <w:b/>
          <w:color w:val="auto"/>
          <w:sz w:val="24"/>
          <w:highlight w:val="none"/>
        </w:rPr>
        <w:t>第十九条</w:t>
      </w:r>
      <w:r>
        <w:rPr>
          <w:rFonts w:hint="eastAsia" w:ascii="宋体" w:hAnsi="宋体" w:eastAsia="宋体" w:cs="宋体"/>
          <w:color w:val="auto"/>
          <w:sz w:val="24"/>
          <w:highlight w:val="none"/>
        </w:rPr>
        <w:t xml:space="preserve"> 本评标办法的解释权属于采购人。</w:t>
      </w:r>
    </w:p>
    <w:p w14:paraId="57A2D6EA">
      <w:pPr>
        <w:spacing w:line="360" w:lineRule="auto"/>
        <w:rPr>
          <w:rFonts w:hint="eastAsia" w:ascii="宋体" w:hAnsi="宋体" w:eastAsia="宋体" w:cs="宋体"/>
          <w:color w:val="auto"/>
          <w:sz w:val="24"/>
          <w:highlight w:val="none"/>
        </w:rPr>
      </w:pPr>
    </w:p>
    <w:p w14:paraId="07B6FBE6">
      <w:pPr>
        <w:pStyle w:val="4"/>
        <w:spacing w:before="0" w:after="0" w:line="400" w:lineRule="exact"/>
        <w:jc w:val="center"/>
        <w:rPr>
          <w:rFonts w:hint="eastAsia" w:ascii="宋体" w:hAnsi="宋体" w:eastAsia="宋体" w:cs="宋体"/>
          <w:color w:val="auto"/>
          <w:sz w:val="32"/>
          <w:highlight w:val="none"/>
        </w:rPr>
      </w:pPr>
      <w:bookmarkStart w:id="57" w:name="_Toc527725920"/>
      <w:r>
        <w:rPr>
          <w:rFonts w:hint="eastAsia" w:ascii="宋体" w:hAnsi="宋体" w:eastAsia="宋体" w:cs="宋体"/>
          <w:color w:val="auto"/>
          <w:sz w:val="32"/>
          <w:highlight w:val="none"/>
        </w:rPr>
        <w:br w:type="page"/>
      </w:r>
      <w:bookmarkStart w:id="58" w:name="_Toc40975440"/>
      <w:bookmarkStart w:id="59" w:name="_Toc28050"/>
      <w:bookmarkStart w:id="60" w:name="_Toc19953"/>
      <w:bookmarkStart w:id="61" w:name="_Toc19468"/>
      <w:r>
        <w:rPr>
          <w:rFonts w:hint="eastAsia" w:ascii="宋体" w:hAnsi="宋体" w:eastAsia="宋体" w:cs="宋体"/>
          <w:color w:val="auto"/>
          <w:sz w:val="32"/>
          <w:highlight w:val="none"/>
        </w:rPr>
        <w:t>招标文件第二部分</w:t>
      </w:r>
      <w:bookmarkEnd w:id="57"/>
      <w:bookmarkEnd w:id="58"/>
      <w:bookmarkEnd w:id="59"/>
      <w:bookmarkEnd w:id="60"/>
      <w:bookmarkEnd w:id="61"/>
    </w:p>
    <w:p w14:paraId="0E1FE171">
      <w:pPr>
        <w:pStyle w:val="5"/>
        <w:spacing w:line="500" w:lineRule="exact"/>
        <w:ind w:firstLine="0"/>
        <w:rPr>
          <w:rFonts w:hint="eastAsia" w:ascii="宋体" w:hAnsi="宋体" w:eastAsia="宋体" w:cs="宋体"/>
          <w:color w:val="auto"/>
          <w:highlight w:val="none"/>
        </w:rPr>
      </w:pPr>
      <w:bookmarkStart w:id="62" w:name="_Toc527725921"/>
      <w:bookmarkStart w:id="63" w:name="_Toc20612"/>
      <w:r>
        <w:rPr>
          <w:rFonts w:hint="eastAsia" w:ascii="宋体" w:hAnsi="宋体" w:eastAsia="宋体" w:cs="宋体"/>
          <w:color w:val="auto"/>
          <w:highlight w:val="none"/>
        </w:rPr>
        <w:t>第五章 投标人须知</w:t>
      </w:r>
      <w:bookmarkEnd w:id="62"/>
      <w:bookmarkEnd w:id="63"/>
    </w:p>
    <w:p w14:paraId="000F2795">
      <w:pPr>
        <w:pStyle w:val="6"/>
        <w:spacing w:line="500" w:lineRule="exact"/>
        <w:rPr>
          <w:rFonts w:hint="eastAsia" w:ascii="宋体" w:hAnsi="宋体" w:eastAsia="宋体" w:cs="宋体"/>
          <w:color w:val="auto"/>
          <w:sz w:val="28"/>
          <w:highlight w:val="none"/>
        </w:rPr>
      </w:pPr>
      <w:bookmarkStart w:id="64" w:name="_Hlt526418143"/>
      <w:bookmarkEnd w:id="64"/>
      <w:bookmarkStart w:id="65" w:name="_Hlt509650686"/>
      <w:bookmarkEnd w:id="65"/>
      <w:bookmarkStart w:id="66" w:name="_Hlt509649998"/>
      <w:bookmarkEnd w:id="66"/>
      <w:bookmarkStart w:id="67" w:name="_Hlt509650126"/>
      <w:bookmarkEnd w:id="67"/>
      <w:bookmarkStart w:id="68" w:name="_Hlt509650955"/>
      <w:bookmarkEnd w:id="68"/>
      <w:bookmarkStart w:id="69" w:name="_Hlt509649722"/>
      <w:bookmarkEnd w:id="69"/>
      <w:bookmarkStart w:id="70" w:name="_Toc32160"/>
      <w:bookmarkStart w:id="71" w:name="_Toc527725922"/>
      <w:bookmarkStart w:id="72" w:name="_Toc10068"/>
      <w:bookmarkStart w:id="73" w:name="_Toc40975442"/>
      <w:bookmarkStart w:id="74" w:name="_Toc23614"/>
      <w:r>
        <w:rPr>
          <w:rFonts w:hint="eastAsia" w:ascii="宋体" w:hAnsi="宋体" w:eastAsia="宋体" w:cs="宋体"/>
          <w:color w:val="auto"/>
          <w:sz w:val="28"/>
          <w:highlight w:val="none"/>
        </w:rPr>
        <w:t>一．总    则</w:t>
      </w:r>
      <w:bookmarkEnd w:id="70"/>
      <w:bookmarkEnd w:id="71"/>
      <w:bookmarkEnd w:id="72"/>
      <w:bookmarkEnd w:id="73"/>
      <w:bookmarkEnd w:id="74"/>
    </w:p>
    <w:p w14:paraId="2B3348A5">
      <w:pPr>
        <w:spacing w:line="360" w:lineRule="auto"/>
        <w:ind w:firstLine="5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1.适用范围</w:t>
      </w:r>
    </w:p>
    <w:p w14:paraId="4E28676B">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1.1本招标文件仅适用于本次公开招标所述的服务项目采购。</w:t>
      </w:r>
    </w:p>
    <w:p w14:paraId="62F3B68D">
      <w:pPr>
        <w:spacing w:line="360" w:lineRule="auto"/>
        <w:ind w:firstLine="5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2.有关定义</w:t>
      </w:r>
    </w:p>
    <w:p w14:paraId="2E242006">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2.1招标人（采购人）：</w:t>
      </w:r>
      <w:r>
        <w:rPr>
          <w:rFonts w:hint="eastAsia" w:ascii="宋体" w:hAnsi="宋体" w:eastAsia="宋体" w:cs="宋体"/>
          <w:color w:val="auto"/>
          <w:sz w:val="24"/>
          <w:highlight w:val="none"/>
          <w:lang w:val="en-US" w:eastAsia="zh-CN"/>
        </w:rPr>
        <w:t>鹿邑县行政审批和政务信息管理局</w:t>
      </w:r>
      <w:r>
        <w:rPr>
          <w:rFonts w:hint="eastAsia" w:ascii="宋体" w:hAnsi="宋体" w:eastAsia="宋体" w:cs="宋体"/>
          <w:color w:val="auto"/>
          <w:sz w:val="24"/>
          <w:highlight w:val="none"/>
        </w:rPr>
        <w:t>。</w:t>
      </w:r>
    </w:p>
    <w:p w14:paraId="457F8A7C">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2.2招标代理机构（集中采购机构）：系指周口市公共资源交易中心政府采购中心，以下简称“采购中心”。</w:t>
      </w:r>
    </w:p>
    <w:p w14:paraId="54179BAA">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2.3政府采购监督管理部门：系指</w:t>
      </w:r>
      <w:r>
        <w:rPr>
          <w:rFonts w:hint="eastAsia" w:ascii="宋体" w:hAnsi="宋体" w:eastAsia="宋体" w:cs="宋体"/>
          <w:i w:val="0"/>
          <w:iCs w:val="0"/>
          <w:color w:val="auto"/>
          <w:sz w:val="24"/>
          <w:szCs w:val="24"/>
          <w:highlight w:val="none"/>
          <w:lang w:val="en-US" w:eastAsia="zh-CN"/>
        </w:rPr>
        <w:t>鹿邑县财政局政府采购监督管理科</w:t>
      </w:r>
      <w:r>
        <w:rPr>
          <w:rFonts w:hint="eastAsia" w:ascii="宋体" w:hAnsi="宋体" w:eastAsia="宋体" w:cs="宋体"/>
          <w:color w:val="auto"/>
          <w:sz w:val="24"/>
          <w:highlight w:val="none"/>
        </w:rPr>
        <w:t>。</w:t>
      </w:r>
    </w:p>
    <w:p w14:paraId="004E9A3F">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2.4投标人：系指已经在周口市公共资源交易中心网上下载招标文件的投标人，且已经提交或准备提交本次投标文件的制造商、供应商或服务商。</w:t>
      </w:r>
    </w:p>
    <w:p w14:paraId="5C6B0860">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2.服务：系指本项目所采购内容。</w:t>
      </w:r>
    </w:p>
    <w:p w14:paraId="47D1FB71">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2.6业绩：系指符合本招标文件规定且已供货（安装）完毕的合同及相关证明。</w:t>
      </w:r>
    </w:p>
    <w:p w14:paraId="092F8497">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2.7投标人公章：在电子投标文件中系指投标人电子签章。</w:t>
      </w:r>
    </w:p>
    <w:p w14:paraId="441406B9">
      <w:pPr>
        <w:spacing w:line="360" w:lineRule="auto"/>
        <w:ind w:firstLine="550"/>
        <w:rPr>
          <w:rFonts w:hint="eastAsia" w:ascii="宋体" w:hAnsi="宋体" w:eastAsia="宋体" w:cs="宋体"/>
          <w:color w:val="auto"/>
          <w:sz w:val="24"/>
          <w:highlight w:val="none"/>
        </w:rPr>
      </w:pPr>
      <w:bookmarkStart w:id="75" w:name="OLE_LINK7"/>
      <w:r>
        <w:rPr>
          <w:rFonts w:hint="eastAsia" w:ascii="宋体" w:hAnsi="宋体" w:eastAsia="宋体" w:cs="宋体"/>
          <w:color w:val="auto"/>
          <w:sz w:val="24"/>
          <w:highlight w:val="none"/>
          <w:lang w:val="en-US" w:eastAsia="zh-CN"/>
        </w:rPr>
        <w:t>2.8供应商应</w:t>
      </w:r>
      <w:r>
        <w:rPr>
          <w:rFonts w:hint="eastAsia" w:ascii="宋体" w:hAnsi="宋体" w:eastAsia="宋体" w:cs="宋体"/>
          <w:color w:val="auto"/>
          <w:sz w:val="24"/>
          <w:highlight w:val="none"/>
        </w:rPr>
        <w:t>应在投标文件中书面声明未被纳入重大税收违法失信主体名单且未存在不诚信记录，如若实际情况与投标人书面声明内容不一致，一经查实将取消其中标资格，此内容为招标人实质性要求，投标人需在投标文件中出具书面声明，否则按无效标处理。</w:t>
      </w:r>
      <w:bookmarkEnd w:id="75"/>
    </w:p>
    <w:p w14:paraId="67CD1E62">
      <w:pPr>
        <w:spacing w:line="360" w:lineRule="auto"/>
        <w:ind w:firstLine="55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3.投标费用</w:t>
      </w:r>
    </w:p>
    <w:p w14:paraId="5A223D09">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3.1无论投标结果如何，投标人应自行承担其编制与递交投标文件所涉及的一切费用。</w:t>
      </w:r>
      <w:r>
        <w:rPr>
          <w:rFonts w:hint="eastAsia" w:ascii="宋体" w:hAnsi="宋体" w:cs="宋体"/>
          <w:color w:val="auto"/>
          <w:sz w:val="24"/>
          <w:highlight w:val="none"/>
          <w:lang w:val="en-US" w:eastAsia="zh-CN"/>
        </w:rPr>
        <w:t>并提供承诺书。</w:t>
      </w:r>
      <w:r>
        <w:rPr>
          <w:rFonts w:hint="eastAsia" w:ascii="宋体" w:hAnsi="宋体" w:eastAsia="宋体" w:cs="宋体"/>
          <w:b/>
          <w:color w:val="auto"/>
          <w:sz w:val="24"/>
          <w:highlight w:val="none"/>
        </w:rPr>
        <w:t>评标委员会评标费用由采购人</w:t>
      </w:r>
      <w:r>
        <w:rPr>
          <w:rFonts w:hint="eastAsia" w:ascii="宋体" w:hAnsi="宋体" w:eastAsia="宋体" w:cs="宋体"/>
          <w:b/>
          <w:color w:val="auto"/>
          <w:sz w:val="24"/>
          <w:highlight w:val="none"/>
          <w:lang w:val="en-US" w:eastAsia="zh-CN"/>
        </w:rPr>
        <w:t>支付</w:t>
      </w:r>
      <w:r>
        <w:rPr>
          <w:rFonts w:hint="eastAsia" w:ascii="宋体" w:hAnsi="宋体" w:eastAsia="宋体" w:cs="宋体"/>
          <w:b/>
          <w:color w:val="auto"/>
          <w:sz w:val="24"/>
          <w:highlight w:val="none"/>
        </w:rPr>
        <w:t>。</w:t>
      </w:r>
    </w:p>
    <w:p w14:paraId="453E4E51">
      <w:pPr>
        <w:spacing w:line="360" w:lineRule="auto"/>
        <w:ind w:firstLine="55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4.合格的投标人</w:t>
      </w:r>
    </w:p>
    <w:p w14:paraId="177A798F">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4.1合格的投标人应符合招标文件载明的投标资格。</w:t>
      </w:r>
    </w:p>
    <w:p w14:paraId="685A60CC">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4.2投标人之间如果存在下列情形之一的，不得同时参加同一标段（包别）或者不分标段（包别）的同一项目投标：</w:t>
      </w:r>
    </w:p>
    <w:p w14:paraId="57548A53">
      <w:pPr>
        <w:spacing w:line="360" w:lineRule="auto"/>
        <w:ind w:left="420" w:leftChars="200" w:firstLine="88" w:firstLineChars="37"/>
        <w:rPr>
          <w:rFonts w:hint="eastAsia" w:ascii="宋体" w:hAnsi="宋体" w:eastAsia="宋体" w:cs="宋体"/>
          <w:color w:val="auto"/>
          <w:sz w:val="24"/>
          <w:highlight w:val="none"/>
        </w:rPr>
      </w:pPr>
      <w:r>
        <w:rPr>
          <w:rFonts w:hint="eastAsia" w:ascii="宋体" w:hAnsi="宋体" w:eastAsia="宋体" w:cs="宋体"/>
          <w:color w:val="auto"/>
          <w:sz w:val="24"/>
          <w:highlight w:val="none"/>
        </w:rPr>
        <w:t>4.2.1法定代表人为同一个人的两个及两个以上法人；</w:t>
      </w:r>
    </w:p>
    <w:p w14:paraId="0718AB38">
      <w:pPr>
        <w:spacing w:line="360" w:lineRule="auto"/>
        <w:ind w:left="420" w:leftChars="200" w:firstLine="88" w:firstLineChars="37"/>
        <w:rPr>
          <w:rFonts w:hint="eastAsia" w:ascii="宋体" w:hAnsi="宋体" w:eastAsia="宋体" w:cs="宋体"/>
          <w:color w:val="auto"/>
          <w:sz w:val="24"/>
          <w:highlight w:val="none"/>
        </w:rPr>
      </w:pPr>
      <w:r>
        <w:rPr>
          <w:rFonts w:hint="eastAsia" w:ascii="宋体" w:hAnsi="宋体" w:eastAsia="宋体" w:cs="宋体"/>
          <w:color w:val="auto"/>
          <w:sz w:val="24"/>
          <w:highlight w:val="none"/>
        </w:rPr>
        <w:t>4.2.2母公司、全资子公司及其控股公司；</w:t>
      </w:r>
    </w:p>
    <w:p w14:paraId="2C0DE42F">
      <w:pPr>
        <w:pStyle w:val="7"/>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4.2.3参加投标的其他组织之间存在特殊的利害关系的；</w:t>
      </w:r>
    </w:p>
    <w:p w14:paraId="20D53045">
      <w:pPr>
        <w:spacing w:line="360" w:lineRule="auto"/>
        <w:ind w:left="420" w:leftChars="200" w:firstLine="88" w:firstLineChars="37"/>
        <w:rPr>
          <w:rFonts w:hint="eastAsia" w:ascii="宋体" w:hAnsi="宋体" w:eastAsia="宋体" w:cs="宋体"/>
          <w:color w:val="auto"/>
          <w:sz w:val="24"/>
          <w:highlight w:val="none"/>
        </w:rPr>
      </w:pPr>
      <w:r>
        <w:rPr>
          <w:rFonts w:hint="eastAsia" w:ascii="宋体" w:hAnsi="宋体" w:eastAsia="宋体" w:cs="宋体"/>
          <w:color w:val="auto"/>
          <w:sz w:val="24"/>
          <w:highlight w:val="none"/>
        </w:rPr>
        <w:t>4.2.4法律和行政法规规定的其他情形。</w:t>
      </w:r>
    </w:p>
    <w:p w14:paraId="0C72DD8A">
      <w:pPr>
        <w:spacing w:line="360" w:lineRule="auto"/>
        <w:ind w:firstLine="5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5.勘察现场</w:t>
      </w:r>
    </w:p>
    <w:p w14:paraId="0B7ECB2A">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5.1投标人应自行对供货现场和周围环境进行勘察，以获取编制投标文件和签署合同所需的资料。勘察现场的方式、地址及联系方式见投标人须知前附表。</w:t>
      </w:r>
    </w:p>
    <w:p w14:paraId="25B752ED">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5.2勘察现场所发生的费用由投标人自行承担。采购人向投标人提供的有关供货现场的资料和数据，是采购人现有的能使投标人利用的资料。采购人对投标人由此而做出的推论、理解和结论概不负责。投标人未到供货现场实地踏勘的，中标后签订合同时和履约过程中，不得以不完全了解现场情况为由，提出任何形式的增加合同价款或索赔的要求。</w:t>
      </w:r>
    </w:p>
    <w:p w14:paraId="1C77878C">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5.3除非有特殊要求，招标文件不单独提供供货使用地的自然环境、气候条件、公用设施等情况，投标人被视为熟悉上述与履行合同有关的一切情况。</w:t>
      </w:r>
    </w:p>
    <w:p w14:paraId="77A03C42">
      <w:pPr>
        <w:spacing w:line="360" w:lineRule="auto"/>
        <w:ind w:firstLine="550"/>
        <w:rPr>
          <w:rFonts w:hint="eastAsia" w:ascii="宋体" w:hAnsi="宋体" w:eastAsia="宋体" w:cs="宋体"/>
          <w:bCs/>
          <w:color w:val="auto"/>
          <w:sz w:val="24"/>
          <w:highlight w:val="none"/>
        </w:rPr>
      </w:pPr>
      <w:r>
        <w:rPr>
          <w:rFonts w:hint="eastAsia" w:ascii="宋体" w:hAnsi="宋体" w:eastAsia="宋体" w:cs="宋体"/>
          <w:b/>
          <w:color w:val="auto"/>
          <w:sz w:val="24"/>
          <w:highlight w:val="none"/>
        </w:rPr>
        <w:t>6.知识产权</w:t>
      </w:r>
    </w:p>
    <w:p w14:paraId="05185697">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color w:val="auto"/>
          <w:sz w:val="24"/>
          <w:highlight w:val="none"/>
        </w:rPr>
        <w:t>6.1</w:t>
      </w:r>
      <w:r>
        <w:rPr>
          <w:rFonts w:hint="eastAsia" w:ascii="宋体" w:hAnsi="宋体" w:eastAsia="宋体" w:cs="宋体"/>
          <w:bCs/>
          <w:color w:val="auto"/>
          <w:sz w:val="24"/>
          <w:highlight w:val="none"/>
        </w:rPr>
        <w:t>投标人须保证，采购人在中华人民共和国境内使用投标货物、资料、技术、服务或其任何一部分时，享有不受限制的无偿使用权，不会产生因第三方提出侵犯其专利权、商标权或其它知识产权而引起的法律或经济纠纷</w:t>
      </w:r>
      <w:r>
        <w:rPr>
          <w:rFonts w:hint="eastAsia" w:ascii="宋体" w:hAnsi="宋体" w:cs="宋体"/>
          <w:bCs/>
          <w:color w:val="auto"/>
          <w:sz w:val="24"/>
          <w:highlight w:val="none"/>
          <w:lang w:val="en-US" w:eastAsia="zh-CN"/>
        </w:rPr>
        <w:t>并出具保证书</w:t>
      </w:r>
      <w:r>
        <w:rPr>
          <w:rFonts w:hint="eastAsia" w:ascii="宋体" w:hAnsi="宋体" w:eastAsia="宋体" w:cs="宋体"/>
          <w:bCs/>
          <w:color w:val="auto"/>
          <w:sz w:val="24"/>
          <w:highlight w:val="none"/>
        </w:rPr>
        <w:t>。如投标人不拥有相应的知识产权，则在投标报价中必须包括合法获取该知识产权的一切相关费用。</w:t>
      </w:r>
      <w:r>
        <w:rPr>
          <w:rFonts w:hint="eastAsia" w:ascii="宋体" w:hAnsi="宋体" w:eastAsia="宋体" w:cs="宋体"/>
          <w:color w:val="auto"/>
          <w:sz w:val="24"/>
          <w:highlight w:val="none"/>
        </w:rPr>
        <w:t>如因此导致采购人损失的，投标人须承担全部赔偿责任。</w:t>
      </w:r>
    </w:p>
    <w:p w14:paraId="602C57EF">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6.2投标人如欲在项目实施过程中采用自有知识成果，须在投标文件中声明，并提供相关知识产权证明文件。使用该知识成果后，投标人须提供开发接口和开发手册等技术文档。</w:t>
      </w:r>
    </w:p>
    <w:p w14:paraId="414DFDFF">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7.纪律与保密</w:t>
      </w:r>
    </w:p>
    <w:p w14:paraId="43D96F34">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7.1投标人的投标行为应遵守中国的有关法律、法规和规章。</w:t>
      </w:r>
    </w:p>
    <w:p w14:paraId="4E1B7107">
      <w:pPr>
        <w:spacing w:line="360" w:lineRule="auto"/>
        <w:ind w:firstLine="480" w:firstLineChars="200"/>
        <w:rPr>
          <w:rFonts w:hint="eastAsia" w:ascii="宋体" w:hAnsi="宋体" w:eastAsia="宋体" w:cs="宋体"/>
          <w:color w:val="auto"/>
          <w:sz w:val="24"/>
          <w:highlight w:val="none"/>
        </w:rPr>
      </w:pPr>
      <w:bookmarkStart w:id="76" w:name="OLE_LINK10"/>
      <w:r>
        <w:rPr>
          <w:rFonts w:hint="eastAsia" w:ascii="宋体" w:hAnsi="宋体" w:eastAsia="宋体" w:cs="宋体"/>
          <w:color w:val="auto"/>
          <w:sz w:val="24"/>
          <w:highlight w:val="none"/>
        </w:rPr>
        <w:t>7.2投标人不得相互串通投标报价，不得妨碍其他投标人的公平竞争，不得损害采购人或其他投标人的合法权益，投标人不得以向采购人、评委会成员行贿或者采取其他不正当手段谋取中标。对上述作出保证并附投标文件中，否则视为不响应招标文件要求。</w:t>
      </w:r>
    </w:p>
    <w:bookmarkEnd w:id="76"/>
    <w:p w14:paraId="70EDFFF4">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7.2.1有下列情形之一的，属于投标人相互串通投标：</w:t>
      </w:r>
    </w:p>
    <w:p w14:paraId="44BCF8AC">
      <w:pPr>
        <w:spacing w:line="360" w:lineRule="auto"/>
        <w:ind w:firstLine="1024" w:firstLineChars="427"/>
        <w:rPr>
          <w:rFonts w:hint="eastAsia" w:ascii="宋体" w:hAnsi="宋体" w:eastAsia="宋体" w:cs="宋体"/>
          <w:color w:val="auto"/>
          <w:sz w:val="24"/>
          <w:highlight w:val="none"/>
        </w:rPr>
      </w:pPr>
      <w:r>
        <w:rPr>
          <w:rFonts w:hint="eastAsia" w:ascii="宋体" w:hAnsi="宋体" w:eastAsia="宋体" w:cs="宋体"/>
          <w:color w:val="auto"/>
          <w:sz w:val="24"/>
          <w:highlight w:val="none"/>
        </w:rPr>
        <w:t>7.2.1.1不同投标人的投标文件由同一单位或者个人编制；</w:t>
      </w:r>
    </w:p>
    <w:p w14:paraId="35E9C21C">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　  7.2.1.2不同投标人委托同一单位或者个人办理投标事宜；</w:t>
      </w:r>
    </w:p>
    <w:p w14:paraId="1A4AB33D">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　　7.2.1.3不同投标人的投标文件载明的项目管理成员或者联系人员为同一人；</w:t>
      </w:r>
    </w:p>
    <w:p w14:paraId="363E73D6">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　　7.2.1.4不同投标人的投标文件异常一致或者投标报价呈规律性差异；</w:t>
      </w:r>
    </w:p>
    <w:p w14:paraId="623A8954">
      <w:pPr>
        <w:spacing w:line="360" w:lineRule="auto"/>
        <w:ind w:firstLine="549"/>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　　7.2.1.5不同投标人的投标文件相互混装</w:t>
      </w:r>
      <w:r>
        <w:rPr>
          <w:rFonts w:hint="eastAsia" w:ascii="宋体" w:hAnsi="宋体" w:eastAsia="宋体" w:cs="宋体"/>
          <w:color w:val="auto"/>
          <w:sz w:val="24"/>
          <w:highlight w:val="none"/>
          <w:lang w:eastAsia="zh-CN"/>
        </w:rPr>
        <w:t>。</w:t>
      </w:r>
    </w:p>
    <w:p w14:paraId="44CC0E55">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7.3在确定中标人之前，投标人不得与采购人就投标价格、投标方案等实质性内容进行谈判，也不得私下接触评委会成员。</w:t>
      </w:r>
    </w:p>
    <w:p w14:paraId="5112D757">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7.4在确定中标人之前，投标人试图在投标文件审查、澄清、比较和评价时对评委会、采购人和采购中心施加任何影响都可能导致其投标无效。</w:t>
      </w:r>
    </w:p>
    <w:p w14:paraId="79B4AA9E">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7.5由采购人向投标人提供的图纸、详细资料、样品、模型、模件和所有其它资料，被视为保密资料，仅被用于它所规定的用途。除非得到采购人的同意，不能向任何第三方透露。开标结束后，应采购人要求，投标人应归还所有从采购人处获得的保密资料。</w:t>
      </w:r>
    </w:p>
    <w:p w14:paraId="598EF826">
      <w:pPr>
        <w:spacing w:line="360" w:lineRule="auto"/>
        <w:ind w:firstLine="549"/>
        <w:rPr>
          <w:rFonts w:hint="eastAsia" w:ascii="宋体" w:hAnsi="宋体" w:eastAsia="宋体" w:cs="宋体"/>
          <w:color w:val="auto"/>
          <w:sz w:val="24"/>
          <w:highlight w:val="none"/>
        </w:rPr>
      </w:pPr>
      <w:bookmarkStart w:id="77" w:name="OLE_LINK11"/>
      <w:r>
        <w:rPr>
          <w:rFonts w:hint="eastAsia" w:ascii="宋体" w:hAnsi="宋体" w:eastAsia="宋体" w:cs="宋体"/>
          <w:color w:val="auto"/>
          <w:sz w:val="24"/>
          <w:highlight w:val="none"/>
        </w:rPr>
        <w:t>7.6参与采购竞标活动的各方应对招标文件和招标文件中的商业和技术等秘密保密，违者应对由此造成的后果承担法律责任。对上述作出书面承诺并附投标文件中，否则视为不响应招标文件要求。</w:t>
      </w:r>
    </w:p>
    <w:bookmarkEnd w:id="77"/>
    <w:p w14:paraId="2F03B598">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8.联合体投标</w:t>
      </w:r>
    </w:p>
    <w:p w14:paraId="7FF00401">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不接受联合体投标</w:t>
      </w:r>
    </w:p>
    <w:p w14:paraId="1BA3FF86">
      <w:pPr>
        <w:spacing w:line="360" w:lineRule="auto"/>
        <w:ind w:firstLine="482" w:firstLineChars="20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9.投标品牌</w:t>
      </w:r>
    </w:p>
    <w:p w14:paraId="6BA565E6">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9.1招标文件中提供的参考商标、品牌或标准（包括工艺、材料、设备、样本目录号码、标准等），是采购人为了方便投标人更准确、更清楚说明拟采购货物、服务的技术规格和标准，并无限制性。投标人在投标中若选用替代商标、品牌或标准，应优于或相当于参考商标、品牌或标准。</w:t>
      </w:r>
    </w:p>
    <w:p w14:paraId="68831F4B">
      <w:pPr>
        <w:spacing w:line="360" w:lineRule="auto"/>
        <w:ind w:firstLine="525"/>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10.投标专用章的效力</w:t>
      </w:r>
    </w:p>
    <w:p w14:paraId="398E38B1">
      <w:pPr>
        <w:pageBreakBefore w:val="0"/>
        <w:widowControl w:val="0"/>
        <w:kinsoku/>
        <w:wordWrap/>
        <w:overflowPunct/>
        <w:topLinePunct w:val="0"/>
        <w:autoSpaceDE/>
        <w:autoSpaceDN/>
        <w:bidi w:val="0"/>
        <w:adjustRightInd/>
        <w:spacing w:line="480" w:lineRule="exact"/>
        <w:ind w:firstLine="525"/>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10.1招标文件中明确要求加盖电子签章的，投标人必须加盖投标人电子签章。生成后的电子投标文件需要加盖供应商骑缝章、法定代表人或委托代理人逐页签字盖章。</w:t>
      </w:r>
    </w:p>
    <w:p w14:paraId="6C2F0D2F">
      <w:pPr>
        <w:spacing w:line="360" w:lineRule="auto"/>
        <w:ind w:firstLine="55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11.合同标的转让</w:t>
      </w:r>
    </w:p>
    <w:p w14:paraId="43821288">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11.1合同未约定或者未经采购人同意，中标人</w:t>
      </w:r>
      <w:r>
        <w:rPr>
          <w:rFonts w:hint="eastAsia" w:ascii="宋体" w:hAnsi="宋体" w:eastAsia="宋体" w:cs="宋体"/>
          <w:color w:val="auto"/>
          <w:sz w:val="24"/>
          <w:highlight w:val="none"/>
          <w:lang w:val="en-US" w:eastAsia="zh-CN"/>
        </w:rPr>
        <w:t>需</w:t>
      </w:r>
      <w:r>
        <w:rPr>
          <w:rFonts w:hint="eastAsia" w:ascii="宋体" w:hAnsi="宋体" w:cs="宋体"/>
          <w:color w:val="auto"/>
          <w:sz w:val="24"/>
          <w:highlight w:val="none"/>
          <w:lang w:eastAsia="zh-CN"/>
        </w:rPr>
        <w:t>书面承诺</w:t>
      </w:r>
      <w:r>
        <w:rPr>
          <w:rFonts w:hint="eastAsia" w:ascii="宋体" w:hAnsi="宋体" w:eastAsia="宋体" w:cs="宋体"/>
          <w:color w:val="auto"/>
          <w:sz w:val="24"/>
          <w:highlight w:val="none"/>
        </w:rPr>
        <w:t xml:space="preserve">不得向他人转让中标项目，也不得将中标项目肢解后分别向他人转让。 </w:t>
      </w:r>
    </w:p>
    <w:p w14:paraId="0B28C31E">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11.2合同约定或者经采购人同意，中标人可以将中标项目的部分非主体、非关键性工作分包给他人完成。接受分包的人应当具备相应的资格条件，并不得再次分包。如果本项目允许分包，采购人根据采购项目的实际情况，拟在中标后将中标项目的非主体、非关键性工作交由他人完成的，应在投标文件中载明。</w:t>
      </w:r>
    </w:p>
    <w:p w14:paraId="4121FE6C">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11.3中标人应当就分包项目向采购人负责，接受分包的人就分包项目承担连带责任。</w:t>
      </w:r>
    </w:p>
    <w:p w14:paraId="51CAEA01">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11.4未经政府采购管理部门批准，进口设备不得转包。</w:t>
      </w:r>
    </w:p>
    <w:p w14:paraId="12F42325">
      <w:pPr>
        <w:spacing w:line="360" w:lineRule="auto"/>
        <w:ind w:firstLine="525" w:firstLineChars="218"/>
        <w:rPr>
          <w:rFonts w:hint="eastAsia" w:ascii="宋体" w:hAnsi="宋体" w:eastAsia="宋体" w:cs="宋体"/>
          <w:color w:val="auto"/>
          <w:sz w:val="24"/>
          <w:highlight w:val="none"/>
        </w:rPr>
      </w:pPr>
      <w:r>
        <w:rPr>
          <w:rFonts w:hint="eastAsia" w:ascii="宋体" w:hAnsi="宋体" w:eastAsia="宋体" w:cs="宋体"/>
          <w:b/>
          <w:bCs/>
          <w:color w:val="auto"/>
          <w:sz w:val="24"/>
          <w:highlight w:val="none"/>
        </w:rPr>
        <w:t>12.会员信息库</w:t>
      </w:r>
    </w:p>
    <w:p w14:paraId="6D720224">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12.1为进一步规范招投标行为，提高招投标工作效率，降低投标成本，加强对投标人诚信信息的管理，加快周口市招投标工作电子化、信息化建设，为周口市公共资源交易中心实行网上招投标奠定基础，经周口市公共资源交易管理办公室研究决定，周口市公共资源交易中心实行投标人会员信息库制度，并面向全国免费征集注册投标企业会员。</w:t>
      </w:r>
    </w:p>
    <w:p w14:paraId="12868800">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12.2入库资料的真实性、有效性、完整性、准确性、合法性及清晰度由投标人负责。周口市公共资源交易中心只负责对投标人所提供的入库资料原件与上传扫描件进行比对；本项目所需会员库资料有效性由本项目评委会负责审核。</w:t>
      </w:r>
    </w:p>
    <w:p w14:paraId="026E9E76">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为确保投标文件通过评审，投标人应及时对入库资料进行补充、更新。</w:t>
      </w:r>
    </w:p>
    <w:p w14:paraId="257EF9BC">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如因前款原因未通过本项目评委会评审，由投标人承担全部责任。</w:t>
      </w:r>
    </w:p>
    <w:p w14:paraId="2BEE9C0E">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12.3网上会员库中文字资料与扫描件资料不一致时，以扫描件资料为准。</w:t>
      </w:r>
    </w:p>
    <w:p w14:paraId="2EEB9F93">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12.4有关会员库的更多信息，请登陆周口市公共资源交易中心网查询。</w:t>
      </w:r>
    </w:p>
    <w:p w14:paraId="20301F83">
      <w:pPr>
        <w:spacing w:line="360" w:lineRule="auto"/>
        <w:ind w:firstLine="550"/>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13.采购信息的发布</w:t>
      </w:r>
    </w:p>
    <w:p w14:paraId="39C62314">
      <w:pPr>
        <w:spacing w:line="360" w:lineRule="auto"/>
        <w:ind w:firstLine="550"/>
        <w:rPr>
          <w:rFonts w:hint="eastAsia" w:ascii="宋体" w:hAnsi="宋体" w:eastAsia="宋体" w:cs="宋体"/>
          <w:color w:val="auto"/>
          <w:sz w:val="28"/>
          <w:highlight w:val="none"/>
        </w:rPr>
      </w:pPr>
      <w:r>
        <w:rPr>
          <w:rFonts w:hint="eastAsia" w:ascii="宋体" w:hAnsi="宋体" w:eastAsia="宋体" w:cs="宋体"/>
          <w:color w:val="auto"/>
          <w:sz w:val="24"/>
          <w:highlight w:val="none"/>
        </w:rPr>
        <w:t>13.1与本次采购活动相关的信息，将发布在周口市公共资源交易中心网(</w:t>
      </w:r>
      <w:r>
        <w:rPr>
          <w:rFonts w:hint="eastAsia" w:ascii="宋体" w:hAnsi="宋体" w:eastAsia="宋体" w:cs="宋体"/>
          <w:color w:val="auto"/>
          <w:sz w:val="24"/>
          <w:highlight w:val="none"/>
        </w:rPr>
        <w:fldChar w:fldCharType="begin"/>
      </w:r>
      <w:r>
        <w:rPr>
          <w:rFonts w:hint="eastAsia" w:ascii="宋体" w:hAnsi="宋体" w:eastAsia="宋体" w:cs="宋体"/>
          <w:color w:val="auto"/>
          <w:sz w:val="24"/>
          <w:highlight w:val="none"/>
        </w:rPr>
        <w:instrText xml:space="preserve"> HYPERLINK "http://jyzx.zhoukou.gov.cn" </w:instrText>
      </w:r>
      <w:r>
        <w:rPr>
          <w:rFonts w:hint="eastAsia" w:ascii="宋体" w:hAnsi="宋体" w:eastAsia="宋体" w:cs="宋体"/>
          <w:color w:val="auto"/>
          <w:sz w:val="24"/>
          <w:highlight w:val="none"/>
        </w:rPr>
        <w:fldChar w:fldCharType="separate"/>
      </w:r>
      <w:r>
        <w:rPr>
          <w:rFonts w:hint="eastAsia" w:ascii="宋体" w:hAnsi="宋体" w:eastAsia="宋体" w:cs="宋体"/>
          <w:color w:val="auto"/>
          <w:sz w:val="24"/>
          <w:highlight w:val="none"/>
        </w:rPr>
        <w:t>http://jyzx.zhoukou.gov.cn</w:t>
      </w:r>
      <w:r>
        <w:rPr>
          <w:rFonts w:hint="eastAsia" w:ascii="宋体" w:hAnsi="宋体" w:eastAsia="宋体" w:cs="宋体"/>
          <w:color w:val="auto"/>
          <w:sz w:val="24"/>
          <w:highlight w:val="none"/>
        </w:rPr>
        <w:fldChar w:fldCharType="end"/>
      </w:r>
      <w:r>
        <w:rPr>
          <w:rFonts w:hint="eastAsia" w:ascii="宋体" w:hAnsi="宋体" w:eastAsia="宋体" w:cs="宋体"/>
          <w:color w:val="auto"/>
          <w:sz w:val="24"/>
          <w:highlight w:val="none"/>
        </w:rPr>
        <w:t>)及河南省政府采购网（www.hngp.gov.cn），以下简称“网站”。</w:t>
      </w:r>
    </w:p>
    <w:p w14:paraId="4B083C39">
      <w:pPr>
        <w:pStyle w:val="6"/>
        <w:spacing w:line="360" w:lineRule="auto"/>
        <w:ind w:firstLine="3418" w:firstLineChars="1216"/>
        <w:jc w:val="both"/>
        <w:rPr>
          <w:rFonts w:hint="eastAsia" w:ascii="宋体" w:hAnsi="宋体" w:eastAsia="宋体" w:cs="宋体"/>
          <w:color w:val="auto"/>
          <w:sz w:val="28"/>
          <w:highlight w:val="none"/>
        </w:rPr>
      </w:pPr>
      <w:bookmarkStart w:id="78" w:name="_Hlt509650103"/>
      <w:bookmarkEnd w:id="78"/>
      <w:bookmarkStart w:id="79" w:name="_Hlt509650936"/>
      <w:bookmarkEnd w:id="79"/>
      <w:bookmarkStart w:id="80" w:name="_Hlt509650333"/>
      <w:bookmarkEnd w:id="80"/>
      <w:bookmarkStart w:id="81" w:name="_Hlt509649645"/>
      <w:bookmarkEnd w:id="81"/>
      <w:bookmarkStart w:id="82" w:name="_Hlt509650929"/>
      <w:bookmarkEnd w:id="82"/>
      <w:bookmarkStart w:id="83" w:name="_Hlt509650116"/>
      <w:bookmarkEnd w:id="83"/>
      <w:bookmarkStart w:id="84" w:name="_Hlt509650932"/>
      <w:bookmarkEnd w:id="84"/>
      <w:bookmarkStart w:id="85" w:name="_Hlt509650690"/>
      <w:bookmarkEnd w:id="85"/>
      <w:bookmarkStart w:id="86" w:name="_Hlt509649330"/>
      <w:bookmarkEnd w:id="86"/>
      <w:bookmarkStart w:id="87" w:name="_Hlt509649678"/>
      <w:bookmarkEnd w:id="87"/>
      <w:bookmarkStart w:id="88" w:name="_Hlt526418153"/>
      <w:bookmarkEnd w:id="88"/>
      <w:bookmarkStart w:id="89" w:name="_Hlt509649669"/>
      <w:bookmarkEnd w:id="89"/>
      <w:bookmarkStart w:id="90" w:name="_Hlt509649795"/>
      <w:bookmarkEnd w:id="90"/>
      <w:bookmarkStart w:id="91" w:name="_Hlt509650961"/>
      <w:bookmarkEnd w:id="91"/>
      <w:bookmarkStart w:id="92" w:name="_Toc5653"/>
      <w:bookmarkStart w:id="93" w:name="_Toc16689"/>
      <w:bookmarkStart w:id="94" w:name="_Toc527725923"/>
      <w:bookmarkStart w:id="95" w:name="_Toc7614"/>
      <w:bookmarkStart w:id="96" w:name="_Toc40975443"/>
      <w:r>
        <w:rPr>
          <w:rFonts w:hint="eastAsia" w:ascii="宋体" w:hAnsi="宋体" w:eastAsia="宋体" w:cs="宋体"/>
          <w:color w:val="auto"/>
          <w:sz w:val="28"/>
          <w:highlight w:val="none"/>
        </w:rPr>
        <w:t>二．招标文件</w:t>
      </w:r>
      <w:bookmarkEnd w:id="92"/>
      <w:bookmarkEnd w:id="93"/>
      <w:bookmarkEnd w:id="94"/>
      <w:bookmarkEnd w:id="95"/>
      <w:bookmarkEnd w:id="96"/>
      <w:bookmarkStart w:id="97" w:name="_Hlt509649791"/>
      <w:bookmarkEnd w:id="97"/>
      <w:bookmarkStart w:id="98" w:name="_Hlt509649930"/>
      <w:bookmarkEnd w:id="98"/>
      <w:bookmarkStart w:id="99" w:name="_Hlt509650361"/>
      <w:bookmarkEnd w:id="99"/>
    </w:p>
    <w:p w14:paraId="4424E1BC">
      <w:pPr>
        <w:spacing w:line="360" w:lineRule="auto"/>
        <w:ind w:firstLine="549"/>
        <w:rPr>
          <w:rFonts w:hint="eastAsia" w:ascii="宋体" w:hAnsi="宋体" w:eastAsia="宋体" w:cs="宋体"/>
          <w:b/>
          <w:color w:val="auto"/>
          <w:sz w:val="24"/>
          <w:highlight w:val="none"/>
        </w:rPr>
      </w:pPr>
      <w:bookmarkStart w:id="100" w:name="_Hlt509650734"/>
      <w:bookmarkEnd w:id="100"/>
      <w:r>
        <w:rPr>
          <w:rFonts w:hint="eastAsia" w:ascii="宋体" w:hAnsi="宋体" w:eastAsia="宋体" w:cs="宋体"/>
          <w:b/>
          <w:color w:val="auto"/>
          <w:sz w:val="24"/>
          <w:highlight w:val="none"/>
        </w:rPr>
        <w:t>14.招标文件构成</w:t>
      </w:r>
    </w:p>
    <w:p w14:paraId="4D230769">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14.1招标文件包括以下部分：</w:t>
      </w:r>
    </w:p>
    <w:p w14:paraId="7A495AFD">
      <w:pPr>
        <w:spacing w:line="360" w:lineRule="auto"/>
        <w:ind w:firstLine="523" w:firstLineChars="218"/>
        <w:rPr>
          <w:rFonts w:hint="eastAsia" w:ascii="宋体" w:hAnsi="宋体" w:eastAsia="宋体" w:cs="宋体"/>
          <w:bCs/>
          <w:color w:val="auto"/>
          <w:sz w:val="24"/>
          <w:highlight w:val="none"/>
        </w:rPr>
      </w:pPr>
      <w:r>
        <w:rPr>
          <w:rFonts w:hint="eastAsia" w:ascii="宋体" w:hAnsi="宋体" w:eastAsia="宋体" w:cs="宋体"/>
          <w:color w:val="auto"/>
          <w:sz w:val="24"/>
          <w:highlight w:val="none"/>
        </w:rPr>
        <w:t>14.1.1第一章：</w:t>
      </w:r>
      <w:r>
        <w:rPr>
          <w:rFonts w:hint="eastAsia" w:ascii="宋体" w:hAnsi="宋体" w:eastAsia="宋体" w:cs="宋体"/>
          <w:bCs/>
          <w:color w:val="auto"/>
          <w:sz w:val="24"/>
          <w:highlight w:val="none"/>
        </w:rPr>
        <w:t>投标邀请（招标公告）；</w:t>
      </w:r>
    </w:p>
    <w:p w14:paraId="322DA50F">
      <w:pPr>
        <w:spacing w:line="360" w:lineRule="auto"/>
        <w:ind w:firstLine="523" w:firstLineChars="218"/>
        <w:rPr>
          <w:rFonts w:hint="eastAsia" w:ascii="宋体" w:hAnsi="宋体" w:eastAsia="宋体" w:cs="宋体"/>
          <w:bCs/>
          <w:color w:val="auto"/>
          <w:sz w:val="24"/>
          <w:highlight w:val="none"/>
        </w:rPr>
      </w:pPr>
      <w:r>
        <w:rPr>
          <w:rFonts w:hint="eastAsia" w:ascii="宋体" w:hAnsi="宋体" w:eastAsia="宋体" w:cs="宋体"/>
          <w:color w:val="auto"/>
          <w:sz w:val="24"/>
          <w:highlight w:val="none"/>
        </w:rPr>
        <w:t>14.1.2第二章：</w:t>
      </w:r>
      <w:bookmarkStart w:id="101" w:name="_Hlt509650925"/>
      <w:bookmarkEnd w:id="101"/>
      <w:r>
        <w:rPr>
          <w:rFonts w:hint="eastAsia" w:ascii="宋体" w:hAnsi="宋体" w:eastAsia="宋体" w:cs="宋体"/>
          <w:bCs/>
          <w:color w:val="auto"/>
          <w:sz w:val="24"/>
          <w:highlight w:val="none"/>
        </w:rPr>
        <w:t>投标人须知前附表；</w:t>
      </w:r>
    </w:p>
    <w:p w14:paraId="61B41EDB">
      <w:pPr>
        <w:spacing w:line="360" w:lineRule="auto"/>
        <w:ind w:firstLine="523" w:firstLineChars="218"/>
        <w:rPr>
          <w:rFonts w:hint="eastAsia" w:ascii="宋体" w:hAnsi="宋体" w:eastAsia="宋体" w:cs="宋体"/>
          <w:bCs/>
          <w:color w:val="auto"/>
          <w:sz w:val="24"/>
          <w:highlight w:val="none"/>
        </w:rPr>
      </w:pPr>
      <w:r>
        <w:rPr>
          <w:rFonts w:hint="eastAsia" w:ascii="宋体" w:hAnsi="宋体" w:eastAsia="宋体" w:cs="宋体"/>
          <w:color w:val="auto"/>
          <w:sz w:val="24"/>
          <w:highlight w:val="none"/>
        </w:rPr>
        <w:t>14.1.3第三章：</w:t>
      </w:r>
      <w:r>
        <w:rPr>
          <w:rFonts w:hint="eastAsia" w:ascii="宋体" w:hAnsi="宋体" w:eastAsia="宋体" w:cs="宋体"/>
          <w:bCs/>
          <w:color w:val="auto"/>
          <w:sz w:val="24"/>
          <w:highlight w:val="none"/>
        </w:rPr>
        <w:t>需求一览表；</w:t>
      </w:r>
    </w:p>
    <w:p w14:paraId="3015DEAB">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14.1.4第四章：</w:t>
      </w:r>
      <w:r>
        <w:rPr>
          <w:rFonts w:hint="eastAsia" w:ascii="宋体" w:hAnsi="宋体" w:eastAsia="宋体" w:cs="宋体"/>
          <w:bCs/>
          <w:color w:val="auto"/>
          <w:sz w:val="24"/>
          <w:highlight w:val="none"/>
        </w:rPr>
        <w:t>评标办法；</w:t>
      </w:r>
    </w:p>
    <w:p w14:paraId="271732A8">
      <w:pPr>
        <w:spacing w:line="360" w:lineRule="auto"/>
        <w:ind w:firstLine="523" w:firstLineChars="218"/>
        <w:rPr>
          <w:rFonts w:hint="eastAsia" w:ascii="宋体" w:hAnsi="宋体" w:eastAsia="宋体" w:cs="宋体"/>
          <w:bCs/>
          <w:color w:val="auto"/>
          <w:sz w:val="24"/>
          <w:highlight w:val="none"/>
        </w:rPr>
      </w:pPr>
      <w:r>
        <w:rPr>
          <w:rFonts w:hint="eastAsia" w:ascii="宋体" w:hAnsi="宋体" w:eastAsia="宋体" w:cs="宋体"/>
          <w:color w:val="auto"/>
          <w:sz w:val="24"/>
          <w:highlight w:val="none"/>
        </w:rPr>
        <w:t>14.1.5第五章：</w:t>
      </w:r>
      <w:r>
        <w:rPr>
          <w:rFonts w:hint="eastAsia" w:ascii="宋体" w:hAnsi="宋体" w:eastAsia="宋体" w:cs="宋体"/>
          <w:bCs/>
          <w:color w:val="auto"/>
          <w:sz w:val="24"/>
          <w:highlight w:val="none"/>
        </w:rPr>
        <w:t>投标人须知；</w:t>
      </w:r>
    </w:p>
    <w:p w14:paraId="33531EED">
      <w:pPr>
        <w:spacing w:line="360" w:lineRule="auto"/>
        <w:ind w:firstLine="523" w:firstLineChars="218"/>
        <w:rPr>
          <w:rFonts w:hint="eastAsia" w:ascii="宋体" w:hAnsi="宋体" w:eastAsia="宋体" w:cs="宋体"/>
          <w:bCs/>
          <w:color w:val="auto"/>
          <w:sz w:val="24"/>
          <w:highlight w:val="none"/>
        </w:rPr>
      </w:pPr>
      <w:r>
        <w:rPr>
          <w:rFonts w:hint="eastAsia" w:ascii="宋体" w:hAnsi="宋体" w:eastAsia="宋体" w:cs="宋体"/>
          <w:color w:val="auto"/>
          <w:sz w:val="24"/>
          <w:highlight w:val="none"/>
        </w:rPr>
        <w:t>14.1.6第六章：</w:t>
      </w:r>
      <w:r>
        <w:rPr>
          <w:rFonts w:hint="eastAsia" w:ascii="宋体" w:hAnsi="宋体" w:eastAsia="宋体" w:cs="宋体"/>
          <w:bCs/>
          <w:color w:val="auto"/>
          <w:sz w:val="24"/>
          <w:highlight w:val="none"/>
        </w:rPr>
        <w:t>采购合同；</w:t>
      </w:r>
    </w:p>
    <w:p w14:paraId="4D7C7B00">
      <w:pPr>
        <w:spacing w:line="360" w:lineRule="auto"/>
        <w:ind w:firstLine="523" w:firstLineChars="218"/>
        <w:rPr>
          <w:rFonts w:hint="eastAsia" w:ascii="宋体" w:hAnsi="宋体" w:eastAsia="宋体" w:cs="宋体"/>
          <w:bCs/>
          <w:color w:val="auto"/>
          <w:sz w:val="24"/>
          <w:highlight w:val="none"/>
        </w:rPr>
      </w:pPr>
      <w:r>
        <w:rPr>
          <w:rFonts w:hint="eastAsia" w:ascii="宋体" w:hAnsi="宋体" w:eastAsia="宋体" w:cs="宋体"/>
          <w:color w:val="auto"/>
          <w:sz w:val="24"/>
          <w:highlight w:val="none"/>
        </w:rPr>
        <w:t>14.1.7第七章：</w:t>
      </w:r>
      <w:r>
        <w:rPr>
          <w:rFonts w:hint="eastAsia" w:ascii="宋体" w:hAnsi="宋体" w:eastAsia="宋体" w:cs="宋体"/>
          <w:bCs/>
          <w:color w:val="auto"/>
          <w:sz w:val="24"/>
          <w:highlight w:val="none"/>
        </w:rPr>
        <w:t>投标文件格式；</w:t>
      </w:r>
    </w:p>
    <w:p w14:paraId="29804BFC">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bCs/>
          <w:color w:val="auto"/>
          <w:sz w:val="24"/>
          <w:highlight w:val="none"/>
        </w:rPr>
        <w:t>14.1.8周口市公共资源交易中心政府采购中心发布的</w:t>
      </w:r>
      <w:r>
        <w:rPr>
          <w:rFonts w:hint="eastAsia" w:ascii="宋体" w:hAnsi="宋体" w:eastAsia="宋体" w:cs="宋体"/>
          <w:color w:val="auto"/>
          <w:sz w:val="24"/>
          <w:highlight w:val="none"/>
        </w:rPr>
        <w:t>图纸、答疑、补遗、补充通知等。</w:t>
      </w:r>
    </w:p>
    <w:p w14:paraId="1C99A9F4">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14.2 投标人应认真阅读招标文件中所有的事项、格式、条件、条款和规范等要求。</w:t>
      </w:r>
    </w:p>
    <w:p w14:paraId="28406A8E">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14.3投标人应当按照招标文件的要求编制投标文件。投标文件应对招标文件提出的要求和条件作出实质性响应。</w:t>
      </w:r>
    </w:p>
    <w:p w14:paraId="12536965">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14.4投标人获取招标文件后，应仔细检查招标文件的所有内容，如有残缺等问题应在获得招标文件3日内向</w:t>
      </w:r>
      <w:r>
        <w:rPr>
          <w:rFonts w:hint="eastAsia" w:ascii="宋体" w:hAnsi="宋体" w:eastAsia="宋体" w:cs="宋体"/>
          <w:bCs/>
          <w:color w:val="auto"/>
          <w:sz w:val="24"/>
          <w:highlight w:val="none"/>
        </w:rPr>
        <w:t>周口市公共资源交易中心政府采购中心或采购人</w:t>
      </w:r>
      <w:r>
        <w:rPr>
          <w:rFonts w:hint="eastAsia" w:ascii="宋体" w:hAnsi="宋体" w:eastAsia="宋体" w:cs="宋体"/>
          <w:color w:val="auto"/>
          <w:sz w:val="24"/>
          <w:highlight w:val="none"/>
        </w:rPr>
        <w:t>提出，否则，由此引起的损失由投标人自行承担。</w:t>
      </w:r>
    </w:p>
    <w:p w14:paraId="66404371">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15.招标文件的澄清与修改</w:t>
      </w:r>
    </w:p>
    <w:p w14:paraId="0139E775">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15.1</w:t>
      </w:r>
      <w:r>
        <w:rPr>
          <w:rFonts w:hint="eastAsia" w:ascii="宋体" w:hAnsi="宋体" w:eastAsia="宋体" w:cs="宋体"/>
          <w:bCs/>
          <w:color w:val="auto"/>
          <w:sz w:val="24"/>
          <w:highlight w:val="none"/>
        </w:rPr>
        <w:t>周口市公共资源交易中心政府采购中心或采购人</w:t>
      </w:r>
      <w:r>
        <w:rPr>
          <w:rFonts w:hint="eastAsia" w:ascii="宋体" w:hAnsi="宋体" w:eastAsia="宋体" w:cs="宋体"/>
          <w:color w:val="auto"/>
          <w:sz w:val="24"/>
          <w:highlight w:val="none"/>
        </w:rPr>
        <w:t>对招标文件进行的澄清、更正或更改，将在网站上及时发布，该公告内容为招标文件的组成部分，对投标人具有同样约束力。澄清或者修改的内容可能影响投标文件编制的，采购人或者采购代理机构在投标截止时间至少15日前，将在网站上及时发布</w:t>
      </w:r>
      <w:r>
        <w:rPr>
          <w:rFonts w:hint="eastAsia" w:ascii="宋体" w:hAnsi="宋体" w:eastAsia="宋体" w:cs="宋体"/>
          <w:color w:val="auto"/>
          <w:sz w:val="24"/>
          <w:highlight w:val="none"/>
          <w:lang w:val="en-US" w:eastAsia="zh-CN"/>
        </w:rPr>
        <w:t>通知</w:t>
      </w:r>
      <w:r>
        <w:rPr>
          <w:rFonts w:hint="eastAsia" w:ascii="宋体" w:hAnsi="宋体" w:eastAsia="宋体" w:cs="宋体"/>
          <w:color w:val="auto"/>
          <w:sz w:val="24"/>
          <w:highlight w:val="none"/>
        </w:rPr>
        <w:t>所有获取招标文件的潜在投标人；不足15日的，采购人或者采购代理机构应当顺延提交投标文件的截止时间</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投标人应主动上网查询。</w:t>
      </w:r>
      <w:r>
        <w:rPr>
          <w:rFonts w:hint="eastAsia" w:ascii="宋体" w:hAnsi="宋体" w:eastAsia="宋体" w:cs="宋体"/>
          <w:bCs/>
          <w:color w:val="auto"/>
          <w:sz w:val="24"/>
          <w:highlight w:val="none"/>
        </w:rPr>
        <w:t>周口市公共资源交易中心政府采购中心或采购人</w:t>
      </w:r>
      <w:r>
        <w:rPr>
          <w:rFonts w:hint="eastAsia" w:ascii="宋体" w:hAnsi="宋体" w:eastAsia="宋体" w:cs="宋体"/>
          <w:color w:val="auto"/>
          <w:sz w:val="24"/>
          <w:highlight w:val="none"/>
        </w:rPr>
        <w:t>不承担投标人未及时关注相关信息引发的相关责任。</w:t>
      </w:r>
    </w:p>
    <w:p w14:paraId="4395158B">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15.2在投标截止时间前，</w:t>
      </w:r>
      <w:r>
        <w:rPr>
          <w:rFonts w:hint="eastAsia" w:ascii="宋体" w:hAnsi="宋体" w:eastAsia="宋体" w:cs="宋体"/>
          <w:bCs/>
          <w:color w:val="auto"/>
          <w:sz w:val="24"/>
          <w:highlight w:val="none"/>
        </w:rPr>
        <w:t>采购人</w:t>
      </w:r>
      <w:r>
        <w:rPr>
          <w:rFonts w:hint="eastAsia" w:ascii="宋体" w:hAnsi="宋体" w:eastAsia="宋体" w:cs="宋体"/>
          <w:color w:val="auto"/>
          <w:sz w:val="24"/>
          <w:highlight w:val="none"/>
        </w:rPr>
        <w:t>可以视采购具体情况，延长投标截止时间和开标时间，并在招标文件要求提交投标文件的截止时间三日前，在网站上发布变更公告。在上述情况下，</w:t>
      </w:r>
      <w:r>
        <w:rPr>
          <w:rFonts w:hint="eastAsia" w:ascii="宋体" w:hAnsi="宋体" w:eastAsia="宋体" w:cs="宋体"/>
          <w:bCs/>
          <w:color w:val="auto"/>
          <w:sz w:val="24"/>
          <w:highlight w:val="none"/>
        </w:rPr>
        <w:t>采购人</w:t>
      </w:r>
      <w:r>
        <w:rPr>
          <w:rFonts w:hint="eastAsia" w:ascii="宋体" w:hAnsi="宋体" w:eastAsia="宋体" w:cs="宋体"/>
          <w:color w:val="auto"/>
          <w:sz w:val="24"/>
          <w:highlight w:val="none"/>
        </w:rPr>
        <w:t>和投标人在投标截止期方面的全部权力、责任和义务，将适用于延长后新的投标截止期。</w:t>
      </w:r>
    </w:p>
    <w:p w14:paraId="7F5CDED1">
      <w:pPr>
        <w:spacing w:line="360" w:lineRule="auto"/>
        <w:ind w:firstLine="550"/>
        <w:rPr>
          <w:rFonts w:hint="eastAsia" w:ascii="宋体" w:hAnsi="宋体" w:eastAsia="宋体" w:cs="宋体"/>
          <w:color w:val="auto"/>
          <w:sz w:val="28"/>
          <w:highlight w:val="none"/>
        </w:rPr>
      </w:pPr>
      <w:r>
        <w:rPr>
          <w:rFonts w:hint="eastAsia" w:ascii="宋体" w:hAnsi="宋体" w:eastAsia="宋体" w:cs="宋体"/>
          <w:color w:val="auto"/>
          <w:sz w:val="24"/>
          <w:highlight w:val="none"/>
        </w:rPr>
        <w:t>15.3特殊情况下，</w:t>
      </w:r>
      <w:r>
        <w:rPr>
          <w:rFonts w:hint="eastAsia" w:ascii="宋体" w:hAnsi="宋体" w:eastAsia="宋体" w:cs="宋体"/>
          <w:bCs/>
          <w:color w:val="auto"/>
          <w:sz w:val="24"/>
          <w:highlight w:val="none"/>
        </w:rPr>
        <w:t>采购人</w:t>
      </w:r>
      <w:r>
        <w:rPr>
          <w:rFonts w:hint="eastAsia" w:ascii="宋体" w:hAnsi="宋体" w:eastAsia="宋体" w:cs="宋体"/>
          <w:color w:val="auto"/>
          <w:sz w:val="24"/>
          <w:highlight w:val="none"/>
        </w:rPr>
        <w:t>发布澄清、更正或更改公告后，可不改变投标截止时间和开标时间。</w:t>
      </w:r>
    </w:p>
    <w:p w14:paraId="5BAC574F">
      <w:pPr>
        <w:pStyle w:val="6"/>
        <w:spacing w:line="360" w:lineRule="auto"/>
        <w:ind w:firstLine="2715" w:firstLineChars="966"/>
        <w:jc w:val="both"/>
        <w:rPr>
          <w:rFonts w:hint="eastAsia" w:ascii="宋体" w:hAnsi="宋体" w:eastAsia="宋体" w:cs="宋体"/>
          <w:color w:val="auto"/>
          <w:sz w:val="28"/>
          <w:highlight w:val="none"/>
        </w:rPr>
      </w:pPr>
      <w:bookmarkStart w:id="102" w:name="_Hlt509649724"/>
      <w:bookmarkEnd w:id="102"/>
      <w:bookmarkStart w:id="103" w:name="_Hlt509650697"/>
      <w:bookmarkEnd w:id="103"/>
      <w:bookmarkStart w:id="104" w:name="_Hlt510342861"/>
      <w:bookmarkEnd w:id="104"/>
      <w:bookmarkStart w:id="105" w:name="_Toc30687"/>
      <w:bookmarkStart w:id="106" w:name="_Toc40975444"/>
      <w:bookmarkStart w:id="107" w:name="_Toc527725924"/>
      <w:bookmarkStart w:id="108" w:name="_Toc25639"/>
      <w:bookmarkStart w:id="109" w:name="_Toc29307"/>
      <w:r>
        <w:rPr>
          <w:rFonts w:hint="eastAsia" w:ascii="宋体" w:hAnsi="宋体" w:eastAsia="宋体" w:cs="宋体"/>
          <w:color w:val="auto"/>
          <w:sz w:val="28"/>
          <w:highlight w:val="none"/>
        </w:rPr>
        <w:t>三．投标文件的编制</w:t>
      </w:r>
      <w:bookmarkEnd w:id="105"/>
      <w:bookmarkEnd w:id="106"/>
      <w:bookmarkEnd w:id="107"/>
      <w:bookmarkEnd w:id="108"/>
      <w:bookmarkEnd w:id="109"/>
    </w:p>
    <w:p w14:paraId="2F61147A">
      <w:pPr>
        <w:spacing w:line="360" w:lineRule="auto"/>
        <w:ind w:firstLine="5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16.投标文件构成与格式</w:t>
      </w:r>
    </w:p>
    <w:p w14:paraId="4E979320">
      <w:pPr>
        <w:spacing w:line="360" w:lineRule="auto"/>
        <w:ind w:firstLine="550"/>
        <w:rPr>
          <w:rFonts w:hint="eastAsia" w:ascii="宋体" w:hAnsi="宋体" w:eastAsia="宋体" w:cs="宋体"/>
          <w:color w:val="auto"/>
          <w:sz w:val="24"/>
          <w:highlight w:val="none"/>
        </w:rPr>
      </w:pPr>
      <w:bookmarkStart w:id="110" w:name="_Hlt509650345"/>
      <w:bookmarkEnd w:id="110"/>
      <w:r>
        <w:rPr>
          <w:rFonts w:hint="eastAsia" w:ascii="宋体" w:hAnsi="宋体" w:eastAsia="宋体" w:cs="宋体"/>
          <w:color w:val="auto"/>
          <w:sz w:val="24"/>
          <w:highlight w:val="none"/>
        </w:rPr>
        <w:t>16.1投标文件是对招标文件的实质性响应及承诺文件。</w:t>
      </w:r>
    </w:p>
    <w:p w14:paraId="3C91F369">
      <w:pPr>
        <w:spacing w:line="360" w:lineRule="auto"/>
        <w:ind w:firstLine="55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16.2</w:t>
      </w:r>
      <w:r>
        <w:rPr>
          <w:rFonts w:hint="eastAsia" w:ascii="宋体" w:hAnsi="宋体" w:eastAsia="宋体" w:cs="宋体"/>
          <w:bCs/>
          <w:color w:val="auto"/>
          <w:sz w:val="24"/>
          <w:highlight w:val="none"/>
        </w:rPr>
        <w:t>除非注明“投标人可自行制作格式”，投标文件应使用招标文件提供的格式。</w:t>
      </w:r>
    </w:p>
    <w:p w14:paraId="7449099D">
      <w:pPr>
        <w:spacing w:line="360" w:lineRule="auto"/>
        <w:ind w:firstLine="550"/>
        <w:rPr>
          <w:rFonts w:hint="eastAsia" w:ascii="宋体" w:hAnsi="宋体" w:eastAsia="宋体" w:cs="宋体"/>
          <w:color w:val="auto"/>
          <w:sz w:val="24"/>
          <w:highlight w:val="none"/>
        </w:rPr>
      </w:pPr>
      <w:r>
        <w:rPr>
          <w:rFonts w:hint="eastAsia" w:ascii="宋体" w:hAnsi="宋体" w:eastAsia="宋体" w:cs="宋体"/>
          <w:bCs/>
          <w:color w:val="auto"/>
          <w:sz w:val="24"/>
          <w:highlight w:val="none"/>
        </w:rPr>
        <w:t>16.3除专用术语外，投标文件以及投标人与采购人就有关投标的往来函电均应使用中文。投标人提交的支持性文件和印制的文件可以用另一种语言，但相应内容应翻译成中文，对不同文字文本投标文件的解释发生异议的，以中文文本为准。</w:t>
      </w:r>
    </w:p>
    <w:p w14:paraId="22B1AEAC">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16.4除非招标文件另有规定，投标文件应使用中华人民共和国法定计量单位。</w:t>
      </w:r>
    </w:p>
    <w:p w14:paraId="0D288387">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16.5除非招标文件另有规定，投标文件应使用人民币填报所有报价。允许以多种货币报价的，应当按照中国银行在开标日公布的汇率中间价换算成人民币。</w:t>
      </w:r>
    </w:p>
    <w:p w14:paraId="7828339B">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16.6投标文件应编制应编制</w:t>
      </w:r>
      <w:r>
        <w:rPr>
          <w:rFonts w:hint="eastAsia" w:ascii="宋体" w:hAnsi="宋体" w:cs="宋体"/>
          <w:color w:val="auto"/>
          <w:sz w:val="24"/>
          <w:highlight w:val="none"/>
        </w:rPr>
        <w:t>连续</w:t>
      </w:r>
      <w:r>
        <w:rPr>
          <w:rFonts w:hint="eastAsia" w:ascii="宋体" w:hAnsi="宋体" w:cs="宋体"/>
          <w:color w:val="auto"/>
          <w:sz w:val="24"/>
          <w:highlight w:val="none"/>
          <w:lang w:eastAsia="zh-CN"/>
        </w:rPr>
        <w:t>全页及分页</w:t>
      </w:r>
      <w:r>
        <w:rPr>
          <w:rFonts w:hint="eastAsia" w:ascii="宋体" w:hAnsi="宋体" w:eastAsia="宋体" w:cs="宋体"/>
          <w:color w:val="auto"/>
          <w:sz w:val="24"/>
          <w:highlight w:val="none"/>
        </w:rPr>
        <w:t>，除特殊规格的图纸或方案、图片资料等外，均应按A4规格制作。供应商应按文件规定的格式和顺序制作响应文件。除了响应文件封面以外，每个页面应在明显位置编制页码，由法定代表人逐页签字，并加盖单位公章，按流水顺序填写，字迹必须清晰可认，响应文件的目录应编序。响应文件内容不完整、编排混乱导致被误读、漏读或者查找不到相关内容的，由供应商负责</w:t>
      </w:r>
      <w:r>
        <w:rPr>
          <w:rFonts w:hint="eastAsia" w:ascii="宋体" w:hAnsi="宋体" w:eastAsia="宋体" w:cs="宋体"/>
          <w:color w:val="auto"/>
          <w:sz w:val="24"/>
          <w:highlight w:val="none"/>
          <w:lang w:eastAsia="zh-CN"/>
        </w:rPr>
        <w:t>。</w:t>
      </w:r>
    </w:p>
    <w:p w14:paraId="67A01A30">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16.7电报、电话、传真形式的投标概不接受。</w:t>
      </w:r>
    </w:p>
    <w:p w14:paraId="6CFA1927">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kern w:val="2"/>
          <w:sz w:val="24"/>
          <w:highlight w:val="none"/>
          <w:lang w:val="en-US" w:eastAsia="zh-CN" w:bidi="ar-SA"/>
        </w:rPr>
        <w:t>16.8电子投标文</w:t>
      </w:r>
      <w:r>
        <w:rPr>
          <w:rFonts w:hint="eastAsia" w:ascii="宋体" w:hAnsi="宋体" w:cs="宋体"/>
          <w:color w:val="auto"/>
          <w:kern w:val="2"/>
          <w:sz w:val="24"/>
          <w:highlight w:val="none"/>
          <w:lang w:val="en-US" w:eastAsia="zh-CN" w:bidi="ar-SA"/>
        </w:rPr>
        <w:t>件</w:t>
      </w:r>
      <w:r>
        <w:rPr>
          <w:rFonts w:hint="eastAsia" w:ascii="宋体" w:hAnsi="宋体" w:eastAsia="宋体" w:cs="宋体"/>
          <w:color w:val="auto"/>
          <w:kern w:val="2"/>
          <w:sz w:val="24"/>
          <w:highlight w:val="none"/>
          <w:lang w:val="en-US" w:eastAsia="zh-CN" w:bidi="ar-SA"/>
        </w:rPr>
        <w:t>制作</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p>
    <w:p w14:paraId="5D4CEE06">
      <w:pPr>
        <w:spacing w:line="360" w:lineRule="auto"/>
        <w:ind w:firstLine="55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16.9谈判供应商应仔细阅读项目内容及技术要求，并做出相应承诺，如中标后无法履行应尽义务，</w:t>
      </w:r>
      <w:r>
        <w:rPr>
          <w:rFonts w:hint="eastAsia" w:ascii="宋体" w:hAnsi="宋体" w:eastAsia="宋体" w:cs="宋体"/>
          <w:color w:val="auto"/>
          <w:sz w:val="24"/>
          <w:highlight w:val="none"/>
        </w:rPr>
        <w:t>投标人自行承担一切后果</w:t>
      </w:r>
      <w:r>
        <w:rPr>
          <w:rFonts w:hint="eastAsia" w:ascii="宋体" w:hAnsi="宋体" w:eastAsia="宋体" w:cs="宋体"/>
          <w:color w:val="auto"/>
          <w:sz w:val="24"/>
          <w:highlight w:val="none"/>
          <w:lang w:eastAsia="zh-CN"/>
        </w:rPr>
        <w:t>。</w:t>
      </w:r>
    </w:p>
    <w:p w14:paraId="4EEFBDBD">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16.10</w:t>
      </w:r>
      <w:r>
        <w:rPr>
          <w:rFonts w:hint="eastAsia" w:ascii="宋体" w:hAnsi="宋体" w:eastAsia="宋体" w:cs="宋体"/>
          <w:color w:val="auto"/>
          <w:sz w:val="24"/>
          <w:highlight w:val="none"/>
        </w:rPr>
        <w:t>法定代表人授权委托书须在法人和被授权人身份证正面签名确认</w:t>
      </w:r>
      <w:r>
        <w:rPr>
          <w:rFonts w:hint="eastAsia" w:ascii="宋体" w:hAnsi="宋体" w:eastAsia="宋体" w:cs="宋体"/>
          <w:color w:val="auto"/>
          <w:sz w:val="24"/>
          <w:highlight w:val="none"/>
          <w:lang w:eastAsia="zh-CN"/>
        </w:rPr>
        <w:t>。</w:t>
      </w:r>
    </w:p>
    <w:p w14:paraId="02190843">
      <w:pPr>
        <w:spacing w:line="360" w:lineRule="auto"/>
        <w:ind w:firstLine="550"/>
        <w:rPr>
          <w:rFonts w:hint="eastAsia" w:ascii="宋体" w:hAnsi="宋体" w:eastAsia="宋体" w:cs="宋体"/>
          <w:color w:val="auto"/>
          <w:sz w:val="24"/>
          <w:highlight w:val="none"/>
        </w:rPr>
      </w:pPr>
      <w:r>
        <w:rPr>
          <w:rFonts w:hint="eastAsia" w:ascii="宋体" w:hAnsi="宋体" w:eastAsia="宋体" w:cs="宋体"/>
          <w:b/>
          <w:color w:val="auto"/>
          <w:sz w:val="24"/>
          <w:highlight w:val="none"/>
        </w:rPr>
        <w:t>17.报价</w:t>
      </w:r>
    </w:p>
    <w:p w14:paraId="6359C1A0">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17.1投标人应以“包”为报价的基本单位。若整个需求分为若干包，则投标人可选择其中的部分或所有包报价。包内所有项目均应报价（免费赠送的除外），否则将导致投标无效。</w:t>
      </w:r>
    </w:p>
    <w:p w14:paraId="0A664C7D">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17.2投标人的报价应包含所投服务、保险、税费、包装、加工及加工损耗、运输、现场落地、安装及安装损耗、调试、检测验收和交付后约定期限内免费维保等工作所发生的一切应有费用。投标报价为签订合同的依据。</w:t>
      </w:r>
    </w:p>
    <w:p w14:paraId="56FC0A5F">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17.3投标人应在投标文件中注明拟提供服务的单价明细和总价</w:t>
      </w:r>
      <w:r>
        <w:rPr>
          <w:rFonts w:hint="eastAsia" w:ascii="宋体" w:hAnsi="宋体" w:eastAsia="宋体" w:cs="宋体"/>
          <w:color w:val="auto"/>
          <w:sz w:val="24"/>
          <w:highlight w:val="none"/>
          <w:lang w:eastAsia="zh-CN"/>
        </w:rPr>
        <w:t>，</w:t>
      </w:r>
      <w:r>
        <w:rPr>
          <w:rFonts w:hint="eastAsia" w:cs="宋体"/>
          <w:color w:val="auto"/>
          <w:sz w:val="24"/>
          <w:highlight w:val="none"/>
          <w:lang w:val="en-US" w:eastAsia="zh-CN"/>
        </w:rPr>
        <w:t>并在</w:t>
      </w:r>
      <w:r>
        <w:rPr>
          <w:rFonts w:hint="eastAsia" w:ascii="宋体" w:hAnsi="宋体" w:eastAsia="宋体" w:cs="宋体"/>
          <w:color w:val="auto"/>
          <w:sz w:val="24"/>
          <w:highlight w:val="none"/>
          <w:lang w:val="en-US" w:eastAsia="zh-CN"/>
        </w:rPr>
        <w:t>总价处加盖公章</w:t>
      </w:r>
      <w:r>
        <w:rPr>
          <w:rFonts w:hint="eastAsia" w:ascii="宋体" w:hAnsi="宋体" w:eastAsia="宋体" w:cs="宋体"/>
          <w:color w:val="auto"/>
          <w:sz w:val="24"/>
          <w:highlight w:val="none"/>
        </w:rPr>
        <w:t>。</w:t>
      </w:r>
    </w:p>
    <w:p w14:paraId="7BE0FBD3">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17.4除非招标文件另有规定，每一包只允许有一个最终报价，任何有选择的报价或替代方案将导致投标无效。</w:t>
      </w:r>
    </w:p>
    <w:p w14:paraId="1CC56CC4">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17.5采购人不建议投标人采用总价优惠或以总价百分比优惠的方式进行投标报价，其优惠可直接计算并体现在各项投标报价的单价中。</w:t>
      </w:r>
    </w:p>
    <w:p w14:paraId="0BD6E6C2">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17.6除政策性文件规定以外，投标人所报价格在合同实施期间不因市场变化因素而变动。</w:t>
      </w:r>
    </w:p>
    <w:p w14:paraId="45F4FAEF">
      <w:pPr>
        <w:spacing w:line="360" w:lineRule="auto"/>
        <w:ind w:firstLine="550"/>
        <w:rPr>
          <w:rFonts w:hint="eastAsia" w:ascii="宋体" w:hAnsi="宋体" w:eastAsia="宋体" w:cs="宋体"/>
          <w:color w:val="auto"/>
          <w:sz w:val="24"/>
          <w:highlight w:val="none"/>
          <w:lang w:eastAsia="zh-CN"/>
        </w:rPr>
      </w:pPr>
      <w:r>
        <w:rPr>
          <w:rFonts w:hint="eastAsia" w:ascii="宋体" w:hAnsi="宋体" w:eastAsia="宋体" w:cs="宋体"/>
          <w:color w:val="auto"/>
          <w:sz w:val="24"/>
          <w:highlight w:val="none"/>
          <w:lang w:val="en-US" w:eastAsia="zh-CN"/>
        </w:rPr>
        <w:t>17.7</w:t>
      </w:r>
      <w:r>
        <w:rPr>
          <w:rFonts w:hint="eastAsia" w:ascii="宋体" w:hAnsi="宋体" w:eastAsia="宋体" w:cs="宋体"/>
          <w:color w:val="auto"/>
          <w:sz w:val="24"/>
          <w:highlight w:val="none"/>
          <w:lang w:eastAsia="zh-CN"/>
        </w:rPr>
        <w:t>供应商不得相互串通投标报价，不得妨碍其他供应商的公平竞争，不得损害采购人或其他供应商的合法权益，供应商不得以向采购人、评委会成员行贿或者采取其他不正当手段谋取中标。对上述作出</w:t>
      </w:r>
      <w:r>
        <w:rPr>
          <w:rFonts w:hint="eastAsia" w:ascii="宋体" w:hAnsi="宋体" w:eastAsia="宋体" w:cs="宋体"/>
          <w:color w:val="auto"/>
          <w:sz w:val="24"/>
          <w:highlight w:val="none"/>
          <w:lang w:val="en-US" w:eastAsia="zh-CN"/>
        </w:rPr>
        <w:t>书面声明</w:t>
      </w:r>
      <w:r>
        <w:rPr>
          <w:rFonts w:hint="eastAsia" w:ascii="宋体" w:hAnsi="宋体" w:eastAsia="宋体" w:cs="宋体"/>
          <w:color w:val="auto"/>
          <w:sz w:val="24"/>
          <w:highlight w:val="none"/>
          <w:lang w:eastAsia="zh-CN"/>
        </w:rPr>
        <w:t>并附响应文件中，否则视为不响应招标文件要求。</w:t>
      </w:r>
    </w:p>
    <w:p w14:paraId="2026807F">
      <w:pPr>
        <w:spacing w:line="360" w:lineRule="auto"/>
        <w:ind w:firstLine="549"/>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18.投标内容填写及说明</w:t>
      </w:r>
    </w:p>
    <w:p w14:paraId="6673C273">
      <w:pPr>
        <w:spacing w:line="360" w:lineRule="auto"/>
        <w:ind w:firstLine="549"/>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18.1投标文件须对招标文件载明的投标资格、技术、资信、服务、报价等全部要求和条件做出实质性和完整的响应，</w:t>
      </w:r>
      <w:r>
        <w:rPr>
          <w:rFonts w:hint="eastAsia" w:ascii="宋体" w:hAnsi="宋体" w:cs="宋体"/>
          <w:color w:val="auto"/>
          <w:sz w:val="24"/>
          <w:highlight w:val="none"/>
          <w:lang w:val="en-US" w:eastAsia="zh-CN"/>
        </w:rPr>
        <w:t>并做出承诺，</w:t>
      </w:r>
      <w:r>
        <w:rPr>
          <w:rFonts w:hint="eastAsia" w:ascii="宋体" w:hAnsi="宋体" w:eastAsia="宋体" w:cs="宋体"/>
          <w:color w:val="auto"/>
          <w:sz w:val="24"/>
          <w:highlight w:val="none"/>
        </w:rPr>
        <w:t>如果投标文件填报的内容资料不详，或没有提供招标文件中所要求的全部资料、证明及数据，将导致投标无效。</w:t>
      </w:r>
    </w:p>
    <w:p w14:paraId="6C54CA46">
      <w:pPr>
        <w:pStyle w:val="30"/>
        <w:numPr>
          <w:ilvl w:val="0"/>
          <w:numId w:val="0"/>
        </w:numPr>
        <w:tabs>
          <w:tab w:val="left" w:pos="934"/>
        </w:tabs>
        <w:adjustRightInd w:val="0"/>
        <w:snapToGrid w:val="0"/>
        <w:spacing w:line="360" w:lineRule="auto"/>
        <w:ind w:left="440" w:leftChars="0" w:firstLine="480" w:firstLineChars="200"/>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18.2投标人应在投标文件中提交招标文件要求的有关证明文件（扫描或影印件上传），</w:t>
      </w:r>
      <w:r>
        <w:rPr>
          <w:rFonts w:hint="eastAsia" w:ascii="宋体" w:hAnsi="宋体" w:eastAsia="宋体" w:cs="宋体"/>
          <w:color w:val="auto"/>
          <w:sz w:val="24"/>
          <w:szCs w:val="24"/>
          <w:highlight w:val="none"/>
        </w:rPr>
        <w:t>有关证明的复印件/扫描件均需加盖公章，供应商提交的资料应签署“与原件一致”字样</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highlight w:val="none"/>
        </w:rPr>
        <w:t>且一旦其响应被接受，谈判供应商有能力履行合同。作为其投标文件的一部分。</w:t>
      </w:r>
    </w:p>
    <w:p w14:paraId="5D4D5C30">
      <w:pPr>
        <w:pStyle w:val="30"/>
        <w:numPr>
          <w:ilvl w:val="0"/>
          <w:numId w:val="0"/>
        </w:numPr>
        <w:tabs>
          <w:tab w:val="left" w:pos="932"/>
        </w:tabs>
        <w:adjustRightInd w:val="0"/>
        <w:snapToGrid w:val="0"/>
        <w:spacing w:line="360" w:lineRule="auto"/>
        <w:ind w:leftChars="200" w:firstLine="480" w:firstLineChars="200"/>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sz w:val="24"/>
          <w:highlight w:val="none"/>
        </w:rPr>
        <w:t>18.3投标人应在投标文件中提交（以扫描件或影印件上传）招标文件要求的所有</w:t>
      </w:r>
      <w:r>
        <w:rPr>
          <w:rFonts w:hint="eastAsia" w:ascii="宋体" w:hAnsi="宋体" w:eastAsia="宋体" w:cs="宋体"/>
          <w:color w:val="auto"/>
          <w:kern w:val="2"/>
          <w:sz w:val="24"/>
          <w:szCs w:val="20"/>
          <w:highlight w:val="none"/>
          <w:lang w:val="en-US" w:eastAsia="zh-CN" w:bidi="ar-SA"/>
        </w:rPr>
        <w:t>服务的合格性以及符合招标文件规定的证明文件（可以是手册、图纸和资料）等，并保证所提供的全部资料的真实性、合法性，否则其响应性文件将作为无效处理。作为其投标文件的一部分。包括：</w:t>
      </w:r>
    </w:p>
    <w:p w14:paraId="7B8155C3">
      <w:pPr>
        <w:pStyle w:val="30"/>
        <w:numPr>
          <w:ilvl w:val="0"/>
          <w:numId w:val="0"/>
        </w:numPr>
        <w:tabs>
          <w:tab w:val="left" w:pos="932"/>
        </w:tabs>
        <w:adjustRightInd w:val="0"/>
        <w:snapToGrid w:val="0"/>
        <w:spacing w:line="360" w:lineRule="auto"/>
        <w:ind w:firstLine="720" w:firstLineChars="300"/>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18.3.1服务主要性能（内容）的详细描述；</w:t>
      </w:r>
    </w:p>
    <w:p w14:paraId="1033E2FD">
      <w:pPr>
        <w:spacing w:line="360" w:lineRule="auto"/>
        <w:ind w:firstLine="763" w:firstLineChars="318"/>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18.3.2保证所投服务正常、安全、连续运行期间所需的所有备品、备件及专用工具的详细清单。</w:t>
      </w:r>
    </w:p>
    <w:p w14:paraId="2FBDC0A3">
      <w:pPr>
        <w:spacing w:line="360" w:lineRule="auto"/>
        <w:ind w:firstLine="523" w:firstLineChars="218"/>
        <w:rPr>
          <w:rFonts w:hint="eastAsia" w:ascii="宋体" w:hAnsi="宋体" w:eastAsia="宋体" w:cs="宋体"/>
          <w:color w:val="auto"/>
          <w:kern w:val="2"/>
          <w:sz w:val="24"/>
          <w:szCs w:val="20"/>
          <w:highlight w:val="none"/>
          <w:lang w:val="en-US" w:eastAsia="zh-CN" w:bidi="ar-SA"/>
        </w:rPr>
      </w:pPr>
      <w:r>
        <w:rPr>
          <w:rFonts w:hint="eastAsia" w:ascii="宋体" w:hAnsi="宋体" w:eastAsia="宋体" w:cs="宋体"/>
          <w:color w:val="auto"/>
          <w:kern w:val="2"/>
          <w:sz w:val="24"/>
          <w:szCs w:val="20"/>
          <w:highlight w:val="none"/>
          <w:lang w:val="en-US" w:eastAsia="zh-CN" w:bidi="ar-SA"/>
        </w:rPr>
        <w:t>18.4投标文件应编排有序、内容齐全、不得任意涂改或增删。如有错漏处必须修改，应在修改处加盖投标人电子公章。</w:t>
      </w:r>
    </w:p>
    <w:p w14:paraId="15455EE4">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19.投标保证金（免收）</w:t>
      </w:r>
    </w:p>
    <w:p w14:paraId="4482D72A">
      <w:pPr>
        <w:spacing w:line="360" w:lineRule="auto"/>
        <w:ind w:firstLine="5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20.投标有效期</w:t>
      </w:r>
    </w:p>
    <w:p w14:paraId="148694FE">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20.1为保证采购人有足够的时间完成评标和与中标人签订合同，规定投标有效期。投标有效期期限见投标人须知前附表。</w:t>
      </w:r>
    </w:p>
    <w:p w14:paraId="6141284C">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20.2在投标有效期内，投标人的投标保持有效，投标人不得要求撤销或修改其投标文件。</w:t>
      </w:r>
    </w:p>
    <w:p w14:paraId="7585D27D">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20.3投标有效期从投标截止日起计算。</w:t>
      </w:r>
    </w:p>
    <w:p w14:paraId="77D5CE25">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20.4在原定投标有效期满之前，如果出现特殊情况，</w:t>
      </w:r>
      <w:r>
        <w:rPr>
          <w:rFonts w:hint="eastAsia" w:ascii="宋体" w:hAnsi="宋体" w:eastAsia="宋体" w:cs="宋体"/>
          <w:bCs/>
          <w:color w:val="auto"/>
          <w:sz w:val="24"/>
          <w:highlight w:val="none"/>
        </w:rPr>
        <w:t>采购人</w:t>
      </w:r>
      <w:r>
        <w:rPr>
          <w:rFonts w:hint="eastAsia" w:ascii="宋体" w:hAnsi="宋体" w:eastAsia="宋体" w:cs="宋体"/>
          <w:color w:val="auto"/>
          <w:sz w:val="24"/>
          <w:highlight w:val="none"/>
        </w:rPr>
        <w:t>可以书面形式提出延长投标有效期的要求。投标人以书面形式予以答复，投标人可以拒绝这种要求而不被没收投标保证金。同意延长投标有效期的投标人不允许修改其投标文件的实质性内容，且需要相应地延长投标保证金的有效期。</w:t>
      </w:r>
    </w:p>
    <w:p w14:paraId="08B37870">
      <w:pPr>
        <w:spacing w:line="360" w:lineRule="auto"/>
        <w:ind w:firstLine="5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21.投标文件份数和签署</w:t>
      </w:r>
    </w:p>
    <w:p w14:paraId="3125935B">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21.1 投标人应按照投标人须知前附表的要求准备投标文件。</w:t>
      </w:r>
    </w:p>
    <w:p w14:paraId="5A7B5706">
      <w:pPr>
        <w:spacing w:line="360" w:lineRule="auto"/>
        <w:ind w:firstLine="550"/>
        <w:rPr>
          <w:rFonts w:hint="eastAsia" w:ascii="宋体" w:hAnsi="宋体" w:eastAsia="宋体" w:cs="宋体"/>
          <w:b/>
          <w:color w:val="auto"/>
          <w:sz w:val="24"/>
          <w:highlight w:val="none"/>
        </w:rPr>
      </w:pPr>
      <w:r>
        <w:rPr>
          <w:rFonts w:hint="eastAsia" w:ascii="宋体" w:hAnsi="宋体" w:eastAsia="宋体" w:cs="宋体"/>
          <w:color w:val="auto"/>
          <w:sz w:val="24"/>
          <w:highlight w:val="none"/>
        </w:rPr>
        <w:t>21.2投标文件均应依招标文件要求加盖投标人电子签章</w:t>
      </w:r>
      <w:r>
        <w:rPr>
          <w:rFonts w:hint="eastAsia" w:ascii="宋体" w:hAnsi="宋体" w:eastAsia="宋体" w:cs="宋体"/>
          <w:b/>
          <w:color w:val="auto"/>
          <w:sz w:val="24"/>
          <w:highlight w:val="none"/>
        </w:rPr>
        <w:t>。</w:t>
      </w:r>
    </w:p>
    <w:p w14:paraId="5D60171F">
      <w:pPr>
        <w:pStyle w:val="6"/>
        <w:spacing w:line="360" w:lineRule="auto"/>
        <w:ind w:firstLine="2715" w:firstLineChars="966"/>
        <w:jc w:val="both"/>
        <w:rPr>
          <w:rFonts w:hint="eastAsia" w:ascii="宋体" w:hAnsi="宋体" w:eastAsia="宋体" w:cs="宋体"/>
          <w:color w:val="auto"/>
          <w:sz w:val="28"/>
          <w:highlight w:val="none"/>
        </w:rPr>
      </w:pPr>
      <w:bookmarkStart w:id="111" w:name="_Hlt509650572"/>
      <w:bookmarkEnd w:id="111"/>
      <w:bookmarkStart w:id="112" w:name="_Toc40975445"/>
      <w:bookmarkStart w:id="113" w:name="_Toc527725925"/>
      <w:bookmarkStart w:id="114" w:name="_Toc860"/>
      <w:bookmarkStart w:id="115" w:name="_Toc3045"/>
      <w:bookmarkStart w:id="116" w:name="_Toc26995"/>
      <w:r>
        <w:rPr>
          <w:rFonts w:hint="eastAsia" w:ascii="宋体" w:hAnsi="宋体" w:eastAsia="宋体" w:cs="宋体"/>
          <w:color w:val="auto"/>
          <w:sz w:val="28"/>
          <w:highlight w:val="none"/>
        </w:rPr>
        <w:t>四．投标文件的递交</w:t>
      </w:r>
      <w:bookmarkEnd w:id="112"/>
      <w:bookmarkEnd w:id="113"/>
      <w:bookmarkEnd w:id="114"/>
      <w:bookmarkEnd w:id="115"/>
      <w:bookmarkEnd w:id="116"/>
      <w:bookmarkStart w:id="117" w:name="_Hlt509649414"/>
      <w:bookmarkEnd w:id="117"/>
    </w:p>
    <w:p w14:paraId="7475430F">
      <w:pPr>
        <w:spacing w:line="360" w:lineRule="auto"/>
        <w:ind w:firstLine="5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22.投标文件的密封和标记</w:t>
      </w:r>
    </w:p>
    <w:p w14:paraId="4F764D40">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加密的电子投标文件的递交</w:t>
      </w:r>
      <w:r>
        <w:rPr>
          <w:rFonts w:hint="eastAsia" w:ascii="宋体" w:hAnsi="宋体" w:eastAsia="宋体" w:cs="宋体"/>
          <w:color w:val="auto"/>
          <w:sz w:val="24"/>
          <w:highlight w:val="none"/>
          <w:lang w:eastAsia="zh-CN"/>
        </w:rPr>
        <w:t>，</w:t>
      </w:r>
      <w:r>
        <w:rPr>
          <w:rFonts w:hint="eastAsia" w:ascii="宋体" w:hAnsi="宋体" w:eastAsia="宋体" w:cs="宋体"/>
          <w:color w:val="auto"/>
          <w:sz w:val="24"/>
          <w:highlight w:val="none"/>
        </w:rPr>
        <w:t>见周口市公共资源交易中心</w:t>
      </w:r>
      <w:r>
        <w:rPr>
          <w:rFonts w:hint="eastAsia" w:ascii="宋体" w:hAnsi="宋体" w:eastAsia="宋体" w:cs="宋体"/>
          <w:color w:val="auto"/>
          <w:sz w:val="24"/>
          <w:highlight w:val="none"/>
          <w:lang w:val="en-US" w:eastAsia="zh-CN"/>
        </w:rPr>
        <w:t>网站下载中心版块</w:t>
      </w:r>
      <w:r>
        <w:rPr>
          <w:rFonts w:hint="eastAsia" w:ascii="宋体" w:hAnsi="宋体" w:eastAsia="宋体" w:cs="宋体"/>
          <w:color w:val="auto"/>
          <w:sz w:val="24"/>
          <w:highlight w:val="none"/>
        </w:rPr>
        <w:t>《投标单位-电子投标文件视频制作手册》的相关规定。</w:t>
      </w:r>
    </w:p>
    <w:p w14:paraId="30FE3C79">
      <w:pPr>
        <w:spacing w:line="360" w:lineRule="auto"/>
        <w:ind w:firstLine="5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23.投标文件的递交 </w:t>
      </w:r>
    </w:p>
    <w:p w14:paraId="07F44B33">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23.1投标人应当在招标文件要求提交投标文件的截止时间前网上投标。</w:t>
      </w:r>
    </w:p>
    <w:p w14:paraId="6DCF6ECD">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23.2在招标文件要求提交投标文件的截止时间之后制作上传的投标文件为无效投标文件，</w:t>
      </w:r>
      <w:r>
        <w:rPr>
          <w:rFonts w:hint="eastAsia" w:ascii="宋体" w:hAnsi="宋体" w:eastAsia="宋体" w:cs="宋体"/>
          <w:bCs/>
          <w:color w:val="auto"/>
          <w:sz w:val="24"/>
          <w:highlight w:val="none"/>
        </w:rPr>
        <w:t>采购人</w:t>
      </w:r>
      <w:r>
        <w:rPr>
          <w:rFonts w:hint="eastAsia" w:ascii="宋体" w:hAnsi="宋体" w:eastAsia="宋体" w:cs="宋体"/>
          <w:color w:val="auto"/>
          <w:sz w:val="24"/>
          <w:highlight w:val="none"/>
        </w:rPr>
        <w:t>将拒绝接收。</w:t>
      </w:r>
    </w:p>
    <w:p w14:paraId="1D4462C7">
      <w:pPr>
        <w:spacing w:line="360" w:lineRule="auto"/>
        <w:ind w:firstLine="550"/>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24.投标文件的修改和撤回</w:t>
      </w:r>
    </w:p>
    <w:p w14:paraId="218FC2D3">
      <w:pPr>
        <w:spacing w:line="360" w:lineRule="auto"/>
        <w:ind w:firstLine="550"/>
        <w:rPr>
          <w:rFonts w:hint="eastAsia" w:ascii="宋体" w:hAnsi="宋体" w:eastAsia="宋体" w:cs="宋体"/>
          <w:color w:val="auto"/>
          <w:sz w:val="24"/>
          <w:highlight w:val="none"/>
        </w:rPr>
      </w:pPr>
      <w:r>
        <w:rPr>
          <w:rFonts w:hint="eastAsia" w:ascii="宋体" w:hAnsi="宋体" w:eastAsia="宋体" w:cs="宋体"/>
          <w:color w:val="auto"/>
          <w:sz w:val="24"/>
          <w:highlight w:val="none"/>
        </w:rPr>
        <w:t>投标截止日期前，投标人可以修改或撤回其投标文件；在投标截止时间后，投标人不得再要求修改或撤回其投标文件。</w:t>
      </w:r>
    </w:p>
    <w:p w14:paraId="7723B9A0">
      <w:pPr>
        <w:pStyle w:val="6"/>
        <w:spacing w:line="360" w:lineRule="auto"/>
        <w:ind w:firstLine="2996" w:firstLineChars="1066"/>
        <w:jc w:val="both"/>
        <w:rPr>
          <w:rFonts w:hint="eastAsia" w:ascii="宋体" w:hAnsi="宋体" w:eastAsia="宋体" w:cs="宋体"/>
          <w:color w:val="auto"/>
          <w:sz w:val="28"/>
          <w:highlight w:val="none"/>
        </w:rPr>
      </w:pPr>
      <w:bookmarkStart w:id="118" w:name="_Hlt509649294"/>
      <w:bookmarkEnd w:id="118"/>
      <w:bookmarkStart w:id="119" w:name="_Toc527725926"/>
      <w:bookmarkStart w:id="120" w:name="_Toc40975446"/>
      <w:bookmarkStart w:id="121" w:name="_Toc11404"/>
      <w:bookmarkStart w:id="122" w:name="_Toc5128"/>
      <w:bookmarkStart w:id="123" w:name="_Toc21729"/>
      <w:r>
        <w:rPr>
          <w:rFonts w:hint="eastAsia" w:ascii="宋体" w:hAnsi="宋体" w:eastAsia="宋体" w:cs="宋体"/>
          <w:color w:val="auto"/>
          <w:sz w:val="28"/>
          <w:highlight w:val="none"/>
        </w:rPr>
        <w:t>五．开标与评标</w:t>
      </w:r>
      <w:bookmarkEnd w:id="119"/>
      <w:bookmarkEnd w:id="120"/>
      <w:bookmarkEnd w:id="121"/>
      <w:bookmarkEnd w:id="122"/>
      <w:bookmarkEnd w:id="123"/>
    </w:p>
    <w:p w14:paraId="4C11C597">
      <w:pPr>
        <w:snapToGrid w:val="0"/>
        <w:spacing w:line="300" w:lineRule="auto"/>
        <w:ind w:firstLine="550"/>
        <w:rPr>
          <w:rFonts w:hint="eastAsia" w:ascii="宋体" w:hAnsi="宋体" w:eastAsia="宋体" w:cs="宋体"/>
          <w:b/>
          <w:color w:val="auto"/>
          <w:sz w:val="24"/>
          <w:szCs w:val="24"/>
          <w:highlight w:val="none"/>
        </w:rPr>
      </w:pPr>
      <w:r>
        <w:rPr>
          <w:rFonts w:hint="eastAsia" w:ascii="宋体" w:hAnsi="宋体" w:eastAsia="宋体" w:cs="宋体"/>
          <w:b/>
          <w:color w:val="auto"/>
          <w:sz w:val="24"/>
          <w:szCs w:val="24"/>
          <w:highlight w:val="none"/>
        </w:rPr>
        <w:t>25.开标</w:t>
      </w:r>
    </w:p>
    <w:p w14:paraId="7BCC6A13">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25.1本项目实行网上远程开标无须到现场提交投标文件。投标文件提交及解密详见周口市公共资源交易中心网</w:t>
      </w:r>
      <w:r>
        <w:rPr>
          <w:rFonts w:hint="eastAsia" w:hAnsi="宋体" w:eastAsia="宋体" w:cs="宋体"/>
          <w:color w:val="auto"/>
          <w:sz w:val="24"/>
          <w:szCs w:val="24"/>
          <w:highlight w:val="none"/>
          <w:lang w:val="en-US" w:eastAsia="zh-CN"/>
        </w:rPr>
        <w:t>办事指南</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不见面开标远程在线解密会员端操作手册操作指南</w:t>
      </w:r>
      <w:r>
        <w:rPr>
          <w:rFonts w:hint="eastAsia" w:ascii="宋体" w:hAnsi="宋体" w:eastAsia="宋体" w:cs="宋体"/>
          <w:bCs/>
          <w:color w:val="auto"/>
          <w:sz w:val="24"/>
          <w:highlight w:val="none"/>
          <w:lang w:val="en-US" w:eastAsia="zh-CN"/>
        </w:rPr>
        <w:t>》</w:t>
      </w:r>
      <w:r>
        <w:rPr>
          <w:rFonts w:hint="eastAsia" w:ascii="宋体" w:hAnsi="宋体" w:eastAsia="宋体" w:cs="宋体"/>
          <w:bCs/>
          <w:color w:val="auto"/>
          <w:sz w:val="24"/>
          <w:highlight w:val="none"/>
        </w:rPr>
        <w:t>。</w:t>
      </w:r>
    </w:p>
    <w:p w14:paraId="55FE1A4C">
      <w:pPr>
        <w:spacing w:line="360" w:lineRule="auto"/>
        <w:ind w:firstLine="549"/>
        <w:jc w:val="left"/>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25.2开标时，各投标单位应在规定时间内对本单位的投标文件现场解密。在解密投标文件开始时30分钟内进行解密，超时视为放弃递交投标文件。</w:t>
      </w:r>
    </w:p>
    <w:p w14:paraId="46779418">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25.3投标资格及投标文件的法律文本将由评审委员会在评标前进行审查。资格不符合招标文件要求和相关法律规定的，投标无效。</w:t>
      </w:r>
    </w:p>
    <w:p w14:paraId="1A126B02">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25.4开标时，周口市公共资源交易中心政府采购中心将通过网上开标系统公布投标人名称、投标价格，以及周口市公共资源交易中心政府采购中心认为合适的其它详细内容。</w:t>
      </w:r>
    </w:p>
    <w:p w14:paraId="3EE9BF46">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25.5在评审结束前，未得到周口市公共资源交易中心政府采购中心允许，投标人授权代表不得离开开标现场。</w:t>
      </w:r>
    </w:p>
    <w:p w14:paraId="46D3BB12">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26.投标文件的澄清、说明或补正</w:t>
      </w:r>
    </w:p>
    <w:p w14:paraId="14A0632E">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26.1为有助于投标的审查、评价和比较，评标委员会可以书面方式要求投标人对投标文件中含义不明确、对同类问题表述不一致或者有明显文字和计算错误的内容作必要的澄清、说明或补正。澄清、说明或补正不得超出投标文件的范围或改变投标文件的实质性内容。</w:t>
      </w:r>
    </w:p>
    <w:p w14:paraId="125EDFFA">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26.2投标文件中大写金额和小写金额不一致的，以大写金额为准；总价金额与按单价汇总金额不一致的，以单价金额计算结果为准；单价金额小数点有明显错位的，应以总价为准，并修改单价。</w:t>
      </w:r>
    </w:p>
    <w:p w14:paraId="2176FEB7">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color w:val="auto"/>
          <w:sz w:val="24"/>
          <w:highlight w:val="none"/>
        </w:rPr>
        <w:t>26.3</w:t>
      </w:r>
      <w:r>
        <w:rPr>
          <w:rFonts w:hint="eastAsia" w:ascii="宋体" w:hAnsi="宋体" w:eastAsia="宋体" w:cs="宋体"/>
          <w:bCs/>
          <w:color w:val="auto"/>
          <w:sz w:val="24"/>
          <w:highlight w:val="none"/>
        </w:rPr>
        <w:t>开标一览表内容与投标文件中明细表内容不一致的，以开标一览表为准。</w:t>
      </w:r>
    </w:p>
    <w:p w14:paraId="2EDE8B05">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26.4 如同时出现26.2条和26.3条所述的不一致情况，以开标一览表为准。</w:t>
      </w:r>
    </w:p>
    <w:p w14:paraId="663B05C6">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27.评标</w:t>
      </w:r>
    </w:p>
    <w:p w14:paraId="5C47A6E5">
      <w:pPr>
        <w:spacing w:line="360" w:lineRule="auto"/>
        <w:ind w:firstLine="523" w:firstLineChars="218"/>
        <w:rPr>
          <w:rFonts w:hint="eastAsia" w:ascii="宋体" w:hAnsi="宋体" w:eastAsia="宋体" w:cs="宋体"/>
          <w:b/>
          <w:color w:val="auto"/>
          <w:sz w:val="24"/>
          <w:highlight w:val="none"/>
        </w:rPr>
      </w:pPr>
      <w:r>
        <w:rPr>
          <w:rFonts w:hint="eastAsia" w:ascii="宋体" w:hAnsi="宋体" w:eastAsia="宋体" w:cs="宋体"/>
          <w:color w:val="auto"/>
          <w:sz w:val="24"/>
          <w:highlight w:val="none"/>
        </w:rPr>
        <w:t>27.1 评委会将按照招标文件规定的评标办法对投标人独立进行投标评审。投标评审分为符合性审查和综合评分。</w:t>
      </w:r>
    </w:p>
    <w:p w14:paraId="3214FDC0">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符合性审查时，评委会将首先审查投标文件是否实质上响应招标文件的各项指标要求。实质上响应的投标应与招标文件的全部条款、条件和规格相符，没有重大偏离或保留。所谓重大偏离或保留是指影响合同的供货范围、质量和性能等；或者在实质上与招标文件不一致，而且限制了合同中买方的权利或投标人的义务。这些偏离或保留将会对其他实质上响应要求的投标人的竞争地位产生不公正的影响。投标人不得通过修改或撤销不合要求的偏离或保留而使其投标成为响应性的投标。</w:t>
      </w:r>
    </w:p>
    <w:p w14:paraId="1E032BED">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有下列情形之一的，评标委员会应当否决其投标：</w:t>
      </w:r>
    </w:p>
    <w:p w14:paraId="1A97EA5F">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27.2.1投标文件未经投标单位电子签章的；</w:t>
      </w:r>
    </w:p>
    <w:p w14:paraId="739C3631">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27.2.2投标联合体没有提交共同投标协议；</w:t>
      </w:r>
    </w:p>
    <w:p w14:paraId="38899DF3">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27.2.3投标人不符合国家或者招标文件规定的资格条件；</w:t>
      </w:r>
    </w:p>
    <w:p w14:paraId="03BB8958">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27.2.4同一投标人提交两个以上不同的投标文件或者投标报价，但招标文件要求提交备选投标的除外；</w:t>
      </w:r>
    </w:p>
    <w:p w14:paraId="5A498F5A">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27.2.5投标报价或者某些分项报价明显不合理或者低于成本，有可能影响商品质量和不能诚信履约；</w:t>
      </w:r>
    </w:p>
    <w:p w14:paraId="592D1544">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27.2.6投标报价高于招标文件设定的最高投标限价；</w:t>
      </w:r>
    </w:p>
    <w:p w14:paraId="608CFC25">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27.2.7投标文件没有对招标文件的实质性要求和条件作出响应；</w:t>
      </w:r>
    </w:p>
    <w:p w14:paraId="70B233B9">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27.2.8投标人有串通投标、弄虚作假、行贿等违法行为；</w:t>
      </w:r>
    </w:p>
    <w:p w14:paraId="320A2221">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27.2.8 不同投标人在同一台计算机上制作投标文件的；</w:t>
      </w:r>
    </w:p>
    <w:p w14:paraId="0C8057D8">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27.3如果投标文件未通过投标符合性审查，投标无效。</w:t>
      </w:r>
    </w:p>
    <w:p w14:paraId="023DBCAF">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27.4评委会决定投标文件的响应性及符合性只根据投标文件本身的内容，不寻求其他外部证据。</w:t>
      </w:r>
    </w:p>
    <w:p w14:paraId="16A68FEF">
      <w:pPr>
        <w:spacing w:line="360" w:lineRule="auto"/>
        <w:ind w:firstLine="549"/>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28</w:t>
      </w:r>
      <w:r>
        <w:rPr>
          <w:rFonts w:hint="eastAsia" w:ascii="宋体" w:hAnsi="宋体" w:eastAsia="宋体" w:cs="宋体"/>
          <w:b/>
          <w:color w:val="auto"/>
          <w:sz w:val="24"/>
          <w:highlight w:val="none"/>
        </w:rPr>
        <w:t>.</w:t>
      </w:r>
      <w:r>
        <w:rPr>
          <w:rFonts w:hint="eastAsia" w:ascii="宋体" w:hAnsi="宋体" w:eastAsia="宋体" w:cs="宋体"/>
          <w:b/>
          <w:bCs/>
          <w:color w:val="auto"/>
          <w:sz w:val="24"/>
          <w:highlight w:val="none"/>
        </w:rPr>
        <w:t>废标处理</w:t>
      </w:r>
    </w:p>
    <w:p w14:paraId="7B97CC98">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28.1在招标采购中，出现下列情形之一的，周口市公共资源交易中心政府采购中心有权宣布废标：</w:t>
      </w:r>
    </w:p>
    <w:p w14:paraId="22ACF024">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28.1.1符合专业条件的投标人或对招标文件作实质响应的投标人不足三家的；</w:t>
      </w:r>
    </w:p>
    <w:p w14:paraId="3BE2BC89">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28.1.2投标人的报价均超过采购预算，采购人不能支付的；</w:t>
      </w:r>
    </w:p>
    <w:p w14:paraId="7962BEA0">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28.1.3出现影响采购公正的违法、违规行为的；</w:t>
      </w:r>
    </w:p>
    <w:p w14:paraId="33795EFB">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28.1.4因重大变故，采购任务取消的。</w:t>
      </w:r>
    </w:p>
    <w:p w14:paraId="15012F40">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废标后，周口市公共资源交易中心政府采购中心会把废标理由通知所有投标人。</w:t>
      </w:r>
    </w:p>
    <w:p w14:paraId="44785BA1">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28.2 因上条第一款、第二款规定情形导致废标的，若采购人提出申请，报经政府采购监督管理部门批准，可现场改为竞争性谈判，投标人有下列情形之一的，不得参加谈判：</w:t>
      </w:r>
    </w:p>
    <w:p w14:paraId="0BE29A91">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28.2.1放弃参加投标的；</w:t>
      </w:r>
    </w:p>
    <w:p w14:paraId="78F9B769">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28.2.2未经周口市公共资源交易中心政府采购中心允许，离开开标现场通知不上的；</w:t>
      </w:r>
    </w:p>
    <w:p w14:paraId="76103E18">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28.2.3不符合招标文件列明的专业条件的；</w:t>
      </w:r>
    </w:p>
    <w:p w14:paraId="4DAA2E5F">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28.2.4未按规定交纳谈判保证金的；</w:t>
      </w:r>
    </w:p>
    <w:p w14:paraId="2AD3B7EF">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28.2.5有影响采购公正的违法、违规行为造成项目废标的；</w:t>
      </w:r>
    </w:p>
    <w:p w14:paraId="5423B8A3">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28.2.6其他不符合竞争性谈判条件的情况。</w:t>
      </w:r>
    </w:p>
    <w:p w14:paraId="51E4A716">
      <w:pPr>
        <w:spacing w:line="360" w:lineRule="auto"/>
        <w:ind w:firstLine="54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28.3采购方式现场改为竞争性谈判时，</w:t>
      </w:r>
      <w:r>
        <w:rPr>
          <w:rFonts w:hint="eastAsia" w:ascii="宋体" w:hAnsi="宋体" w:eastAsia="宋体" w:cs="宋体"/>
          <w:color w:val="auto"/>
          <w:sz w:val="24"/>
          <w:highlight w:val="none"/>
        </w:rPr>
        <w:t>周口市公共资源交易中心政府采购中心</w:t>
      </w:r>
      <w:r>
        <w:rPr>
          <w:rFonts w:hint="eastAsia" w:ascii="宋体" w:hAnsi="宋体" w:eastAsia="宋体" w:cs="宋体"/>
          <w:color w:val="auto"/>
          <w:sz w:val="24"/>
          <w:szCs w:val="24"/>
          <w:highlight w:val="none"/>
        </w:rPr>
        <w:t>以《招标流标现场转谈判邀请函》方式函告投标现场各投标人，投标人授权代表签字确认参加谈判。放弃谈判的视同自动放弃本项目的投标资格。竞争性谈判应当至少有两家及以上投标人参加。如参加谈判的投标人少于两家，谈判做流标处理。</w:t>
      </w:r>
    </w:p>
    <w:p w14:paraId="1F5C5CB8">
      <w:pPr>
        <w:spacing w:line="360" w:lineRule="auto"/>
        <w:ind w:firstLine="54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28.3.1谈判时，若投标人未能在评委会指定时间内（原则上不超过60分钟）提交符合要求的补充资料或未作出实质性响应的，投标无效。经过审查符合谈判要求的有效投标人少于两家的，谈判做流标处理。</w:t>
      </w:r>
    </w:p>
    <w:p w14:paraId="4FED6FCD">
      <w:pPr>
        <w:spacing w:line="360" w:lineRule="auto"/>
        <w:ind w:firstLine="54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28.3.2投标文件的报价视为谈判时的首次报价，未唱标转谈判的，谈判时不公开投标人各轮报价。已经唱标而转谈判的，谈判前公布各参与谈判的投标人首轮报价。</w:t>
      </w:r>
    </w:p>
    <w:p w14:paraId="7F4BECDE">
      <w:pPr>
        <w:spacing w:line="360" w:lineRule="auto"/>
        <w:ind w:firstLine="549"/>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28.3.3在谈判内容不作实质性变更及重大调整的前提下，投标人次轮报价不得高于上一轮报价。</w:t>
      </w:r>
    </w:p>
    <w:p w14:paraId="2A6FD0F9">
      <w:pPr>
        <w:spacing w:line="360" w:lineRule="auto"/>
        <w:ind w:firstLine="549"/>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28.4</w:t>
      </w:r>
      <w:r>
        <w:rPr>
          <w:rFonts w:hint="eastAsia" w:ascii="宋体" w:hAnsi="宋体" w:eastAsia="宋体" w:cs="宋体"/>
          <w:color w:val="auto"/>
          <w:sz w:val="24"/>
          <w:szCs w:val="24"/>
          <w:highlight w:val="none"/>
        </w:rPr>
        <w:t>委托代理人未提供养老保险证明和劳动合同的</w:t>
      </w:r>
      <w:r>
        <w:rPr>
          <w:rFonts w:hint="eastAsia" w:ascii="宋体" w:hAnsi="宋体" w:eastAsia="宋体" w:cs="宋体"/>
          <w:color w:val="auto"/>
          <w:sz w:val="24"/>
          <w:szCs w:val="24"/>
          <w:highlight w:val="none"/>
          <w:lang w:val="en-US"/>
        </w:rPr>
        <w:t>；</w:t>
      </w:r>
    </w:p>
    <w:p w14:paraId="09F2981D">
      <w:pPr>
        <w:spacing w:line="360" w:lineRule="auto"/>
        <w:ind w:firstLine="54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28.5</w:t>
      </w:r>
      <w:r>
        <w:rPr>
          <w:rFonts w:hint="eastAsia" w:ascii="宋体" w:hAnsi="宋体" w:eastAsia="宋体" w:cs="宋体"/>
          <w:color w:val="auto"/>
          <w:sz w:val="24"/>
          <w:szCs w:val="24"/>
          <w:highlight w:val="none"/>
        </w:rPr>
        <w:t>对投标质量、付款方式无承诺的；售后服务不满足招标文件要求的</w:t>
      </w:r>
      <w:r>
        <w:rPr>
          <w:rFonts w:hint="eastAsia" w:ascii="宋体" w:hAnsi="宋体" w:eastAsia="宋体" w:cs="宋体"/>
          <w:color w:val="auto"/>
          <w:sz w:val="24"/>
          <w:szCs w:val="24"/>
          <w:highlight w:val="none"/>
          <w:lang w:val="en-US" w:eastAsia="zh-CN"/>
        </w:rPr>
        <w:t>；</w:t>
      </w:r>
    </w:p>
    <w:p w14:paraId="1414059E">
      <w:pPr>
        <w:spacing w:line="360" w:lineRule="auto"/>
        <w:ind w:firstLine="549"/>
        <w:rPr>
          <w:rFonts w:hint="eastAsia" w:ascii="宋体" w:hAnsi="宋体" w:eastAsia="宋体" w:cs="宋体"/>
          <w:color w:val="auto"/>
          <w:sz w:val="24"/>
          <w:szCs w:val="24"/>
          <w:highlight w:val="none"/>
          <w:lang w:val="en-US"/>
        </w:rPr>
      </w:pPr>
      <w:r>
        <w:rPr>
          <w:rFonts w:hint="eastAsia" w:ascii="宋体" w:hAnsi="宋体" w:eastAsia="宋体" w:cs="宋体"/>
          <w:color w:val="auto"/>
          <w:sz w:val="24"/>
          <w:szCs w:val="24"/>
          <w:highlight w:val="none"/>
          <w:lang w:val="en-US" w:eastAsia="zh-CN"/>
        </w:rPr>
        <w:t>28.6</w:t>
      </w:r>
      <w:r>
        <w:rPr>
          <w:rFonts w:hint="eastAsia" w:ascii="宋体" w:hAnsi="宋体" w:eastAsia="宋体" w:cs="宋体"/>
          <w:color w:val="auto"/>
          <w:sz w:val="24"/>
          <w:szCs w:val="24"/>
          <w:highlight w:val="none"/>
        </w:rPr>
        <w:t>供应商提交的资料</w:t>
      </w:r>
      <w:r>
        <w:rPr>
          <w:rFonts w:hint="eastAsia" w:ascii="宋体" w:hAnsi="宋体" w:eastAsia="宋体" w:cs="宋体"/>
          <w:color w:val="auto"/>
          <w:sz w:val="24"/>
          <w:szCs w:val="24"/>
          <w:highlight w:val="none"/>
          <w:lang w:eastAsia="zh-CN"/>
        </w:rPr>
        <w:t>未</w:t>
      </w:r>
      <w:r>
        <w:rPr>
          <w:rFonts w:hint="eastAsia" w:ascii="宋体" w:hAnsi="宋体" w:eastAsia="宋体" w:cs="宋体"/>
          <w:color w:val="auto"/>
          <w:sz w:val="24"/>
          <w:szCs w:val="24"/>
          <w:highlight w:val="none"/>
        </w:rPr>
        <w:t>标注“与原件一致”字样。</w:t>
      </w:r>
    </w:p>
    <w:p w14:paraId="670D91A5">
      <w:pPr>
        <w:spacing w:line="360" w:lineRule="auto"/>
        <w:ind w:firstLine="549"/>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29.二次采购</w:t>
      </w:r>
    </w:p>
    <w:p w14:paraId="4F20BE80">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项目废标后，周口市公共资源交易中心政府采购中心可能发布二次公告（投标邀请），进行二次采购。</w:t>
      </w:r>
    </w:p>
    <w:p w14:paraId="3C8FA51E">
      <w:pPr>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前款所述“二次”，系指项目废标后的重新公告及采购，并不仅限于项目的第二次公告及采购。</w:t>
      </w:r>
    </w:p>
    <w:p w14:paraId="43A458B0">
      <w:pPr>
        <w:pStyle w:val="6"/>
        <w:spacing w:line="360" w:lineRule="auto"/>
        <w:ind w:firstLine="2715" w:firstLineChars="966"/>
        <w:jc w:val="both"/>
        <w:rPr>
          <w:rFonts w:hint="eastAsia" w:ascii="宋体" w:hAnsi="宋体" w:eastAsia="宋体" w:cs="宋体"/>
          <w:color w:val="auto"/>
          <w:sz w:val="28"/>
          <w:highlight w:val="none"/>
        </w:rPr>
      </w:pPr>
      <w:bookmarkStart w:id="124" w:name="_Toc527725927"/>
      <w:bookmarkStart w:id="125" w:name="_Toc32663"/>
      <w:bookmarkStart w:id="126" w:name="_Toc516969091"/>
      <w:bookmarkStart w:id="127" w:name="_Toc7660"/>
      <w:bookmarkStart w:id="128" w:name="_Toc40975447"/>
      <w:bookmarkStart w:id="129" w:name="_Toc20916"/>
      <w:r>
        <w:rPr>
          <w:rFonts w:hint="eastAsia" w:ascii="宋体" w:hAnsi="宋体" w:eastAsia="宋体" w:cs="宋体"/>
          <w:color w:val="auto"/>
          <w:sz w:val="28"/>
          <w:highlight w:val="none"/>
        </w:rPr>
        <w:t>六．定标与签订合同</w:t>
      </w:r>
      <w:bookmarkEnd w:id="124"/>
      <w:bookmarkEnd w:id="125"/>
      <w:bookmarkEnd w:id="126"/>
      <w:bookmarkEnd w:id="127"/>
      <w:bookmarkEnd w:id="128"/>
      <w:bookmarkEnd w:id="129"/>
    </w:p>
    <w:p w14:paraId="50B27D13">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30.定标</w:t>
      </w:r>
    </w:p>
    <w:p w14:paraId="6650A322">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30.1 投标符合性审查后，评委会应当按招标文件规定的综合评分办法提出独立评审意见，推荐中标候选人。</w:t>
      </w:r>
    </w:p>
    <w:p w14:paraId="27946F6A">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30.2采购人应当自收到评审报告之日起5个工作日内在评审报告推荐的中标或者成交候选人中按顺序确定中标或者成交供应商。</w:t>
      </w:r>
    </w:p>
    <w:p w14:paraId="1EF04E79">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30.3如评委会认为有必要，首先对第一中标候选人就投标文件所提供的内容是否符合招标文件的要求进行资格后审。资格后审视为本项目采购活动的延续，以书面报告作为最终审查的结果。如果确定第一中标候选人无法履行合同，将按排名依次对其余中标候选人进行类似的审查。</w:t>
      </w:r>
    </w:p>
    <w:p w14:paraId="2193FF3A">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排名第一的中标候选人放弃中标、因不可抗力不能履行合同、不按照合同约定提交履约保证金，或者被查实存在影响中标结果的违法行为等情形，不符合中标条件的，采购人可以按照评标委员会提出的中标候选人名单排序依次确定其他中标候选人为中标人，也可以重新招标。</w:t>
      </w:r>
    </w:p>
    <w:p w14:paraId="7D92A064">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30.4原则上把合同授予实质上响应招标文件要求的排名最前的中标候选人或通过上条资格审查的中标候选人。</w:t>
      </w:r>
    </w:p>
    <w:p w14:paraId="7D12E3A6">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30.5 最低报价并不是中标的保证。</w:t>
      </w:r>
    </w:p>
    <w:p w14:paraId="119FA588">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30.6凡发现中标候选人有下列行为之一的，其中标无效，并移交政府采购监督管理部门依法处理：</w:t>
      </w:r>
    </w:p>
    <w:p w14:paraId="37BBB89E">
      <w:pPr>
        <w:spacing w:line="360" w:lineRule="auto"/>
        <w:ind w:left="549"/>
        <w:rPr>
          <w:rFonts w:hint="eastAsia" w:ascii="宋体" w:hAnsi="宋体" w:eastAsia="宋体" w:cs="宋体"/>
          <w:color w:val="auto"/>
          <w:sz w:val="24"/>
          <w:highlight w:val="none"/>
        </w:rPr>
      </w:pPr>
      <w:r>
        <w:rPr>
          <w:rFonts w:hint="eastAsia" w:ascii="宋体" w:hAnsi="宋体" w:eastAsia="宋体" w:cs="宋体"/>
          <w:color w:val="auto"/>
          <w:sz w:val="24"/>
          <w:highlight w:val="none"/>
        </w:rPr>
        <w:t>30.6.1 以他人名义投标、或提供虚假材料弄虚作假谋取中标的；</w:t>
      </w:r>
    </w:p>
    <w:p w14:paraId="57DA6264">
      <w:pPr>
        <w:spacing w:line="360" w:lineRule="auto"/>
        <w:ind w:left="549"/>
        <w:rPr>
          <w:rFonts w:hint="eastAsia" w:ascii="宋体" w:hAnsi="宋体" w:eastAsia="宋体" w:cs="宋体"/>
          <w:color w:val="auto"/>
          <w:sz w:val="24"/>
          <w:highlight w:val="none"/>
        </w:rPr>
      </w:pPr>
      <w:r>
        <w:rPr>
          <w:rFonts w:hint="eastAsia" w:ascii="宋体" w:hAnsi="宋体" w:eastAsia="宋体" w:cs="宋体"/>
          <w:color w:val="auto"/>
          <w:sz w:val="24"/>
          <w:highlight w:val="none"/>
        </w:rPr>
        <w:t>30.6.1.1以他人名义投标，是指使用通过受让或者租借等方式获取的资格、资质证书投标。</w:t>
      </w:r>
    </w:p>
    <w:p w14:paraId="7667E2C0">
      <w:pPr>
        <w:spacing w:line="360" w:lineRule="auto"/>
        <w:ind w:left="549"/>
        <w:rPr>
          <w:rFonts w:hint="eastAsia" w:ascii="宋体" w:hAnsi="宋体" w:eastAsia="宋体" w:cs="宋体"/>
          <w:color w:val="auto"/>
          <w:sz w:val="24"/>
          <w:highlight w:val="none"/>
        </w:rPr>
      </w:pPr>
      <w:r>
        <w:rPr>
          <w:rFonts w:hint="eastAsia" w:ascii="宋体" w:hAnsi="宋体" w:eastAsia="宋体" w:cs="宋体"/>
          <w:color w:val="auto"/>
          <w:sz w:val="24"/>
          <w:highlight w:val="none"/>
        </w:rPr>
        <w:t>30.6.1.2有投标人有下列情形之一的，属于弄虚作假的行为：</w:t>
      </w:r>
    </w:p>
    <w:p w14:paraId="5770F958">
      <w:pPr>
        <w:spacing w:line="360" w:lineRule="auto"/>
        <w:ind w:left="549"/>
        <w:rPr>
          <w:rFonts w:hint="eastAsia" w:ascii="宋体" w:hAnsi="宋体" w:eastAsia="宋体" w:cs="宋体"/>
          <w:color w:val="auto"/>
          <w:sz w:val="24"/>
          <w:highlight w:val="none"/>
        </w:rPr>
      </w:pPr>
      <w:r>
        <w:rPr>
          <w:rFonts w:hint="eastAsia" w:ascii="宋体" w:hAnsi="宋体" w:eastAsia="宋体" w:cs="宋体"/>
          <w:color w:val="auto"/>
          <w:sz w:val="24"/>
          <w:highlight w:val="none"/>
        </w:rPr>
        <w:t>30.6.1.2.1使用伪造、变造的许可证件；</w:t>
      </w:r>
    </w:p>
    <w:p w14:paraId="05359FB8">
      <w:pPr>
        <w:spacing w:line="360" w:lineRule="auto"/>
        <w:ind w:left="549"/>
        <w:rPr>
          <w:rFonts w:hint="eastAsia" w:ascii="宋体" w:hAnsi="宋体" w:eastAsia="宋体" w:cs="宋体"/>
          <w:color w:val="auto"/>
          <w:sz w:val="24"/>
          <w:highlight w:val="none"/>
        </w:rPr>
      </w:pPr>
      <w:r>
        <w:rPr>
          <w:rFonts w:hint="eastAsia" w:ascii="宋体" w:hAnsi="宋体" w:eastAsia="宋体" w:cs="宋体"/>
          <w:color w:val="auto"/>
          <w:sz w:val="24"/>
          <w:highlight w:val="none"/>
        </w:rPr>
        <w:t>30.6.1.2.2提供虚假的财务状况或者业绩；</w:t>
      </w:r>
    </w:p>
    <w:p w14:paraId="387E023A">
      <w:pPr>
        <w:spacing w:line="360" w:lineRule="auto"/>
        <w:ind w:left="549"/>
        <w:rPr>
          <w:rFonts w:hint="eastAsia" w:ascii="宋体" w:hAnsi="宋体" w:eastAsia="宋体" w:cs="宋体"/>
          <w:color w:val="auto"/>
          <w:sz w:val="24"/>
          <w:highlight w:val="none"/>
        </w:rPr>
      </w:pPr>
      <w:r>
        <w:rPr>
          <w:rFonts w:hint="eastAsia" w:ascii="宋体" w:hAnsi="宋体" w:eastAsia="宋体" w:cs="宋体"/>
          <w:color w:val="auto"/>
          <w:sz w:val="24"/>
          <w:highlight w:val="none"/>
        </w:rPr>
        <w:t>30.6.1.2.3提供虚假的项目负责人或者主要技术人员简历、劳动关系证明；</w:t>
      </w:r>
    </w:p>
    <w:p w14:paraId="69B0CA54">
      <w:pPr>
        <w:spacing w:line="360" w:lineRule="auto"/>
        <w:ind w:left="549"/>
        <w:rPr>
          <w:rFonts w:hint="eastAsia" w:ascii="宋体" w:hAnsi="宋体" w:eastAsia="宋体" w:cs="宋体"/>
          <w:color w:val="auto"/>
          <w:sz w:val="24"/>
          <w:highlight w:val="none"/>
        </w:rPr>
      </w:pPr>
      <w:r>
        <w:rPr>
          <w:rFonts w:hint="eastAsia" w:ascii="宋体" w:hAnsi="宋体" w:eastAsia="宋体" w:cs="宋体"/>
          <w:color w:val="auto"/>
          <w:sz w:val="24"/>
          <w:highlight w:val="none"/>
        </w:rPr>
        <w:t>30.6.1.2.4提供虚假的信用状况；</w:t>
      </w:r>
    </w:p>
    <w:p w14:paraId="44EEA2E1">
      <w:pPr>
        <w:spacing w:line="360" w:lineRule="auto"/>
        <w:ind w:left="549"/>
        <w:rPr>
          <w:rFonts w:hint="eastAsia" w:ascii="宋体" w:hAnsi="宋体" w:eastAsia="宋体" w:cs="宋体"/>
          <w:color w:val="auto"/>
          <w:sz w:val="24"/>
          <w:highlight w:val="none"/>
        </w:rPr>
      </w:pPr>
      <w:r>
        <w:rPr>
          <w:rFonts w:hint="eastAsia" w:ascii="宋体" w:hAnsi="宋体" w:eastAsia="宋体" w:cs="宋体"/>
          <w:color w:val="auto"/>
          <w:sz w:val="24"/>
          <w:highlight w:val="none"/>
        </w:rPr>
        <w:t>30.6.1.2.5其他弄虚作假的行为。</w:t>
      </w:r>
    </w:p>
    <w:p w14:paraId="699681EB">
      <w:pPr>
        <w:spacing w:line="360" w:lineRule="auto"/>
        <w:ind w:left="549"/>
        <w:rPr>
          <w:rFonts w:hint="eastAsia" w:ascii="宋体" w:hAnsi="宋体" w:eastAsia="宋体" w:cs="宋体"/>
          <w:color w:val="auto"/>
          <w:sz w:val="24"/>
          <w:highlight w:val="none"/>
        </w:rPr>
      </w:pPr>
      <w:r>
        <w:rPr>
          <w:rFonts w:hint="eastAsia" w:ascii="宋体" w:hAnsi="宋体" w:eastAsia="宋体" w:cs="宋体"/>
          <w:color w:val="auto"/>
          <w:sz w:val="24"/>
          <w:highlight w:val="none"/>
        </w:rPr>
        <w:t>30.6.2与采购人、其他供应商或者采购代理机构名称工作人员恶意串通的；</w:t>
      </w:r>
    </w:p>
    <w:p w14:paraId="274EB596">
      <w:pPr>
        <w:spacing w:line="360" w:lineRule="auto"/>
        <w:ind w:left="549"/>
        <w:rPr>
          <w:rFonts w:hint="eastAsia" w:ascii="宋体" w:hAnsi="宋体" w:eastAsia="宋体" w:cs="宋体"/>
          <w:color w:val="auto"/>
          <w:sz w:val="24"/>
          <w:highlight w:val="none"/>
        </w:rPr>
      </w:pPr>
      <w:r>
        <w:rPr>
          <w:rFonts w:hint="eastAsia" w:ascii="宋体" w:hAnsi="宋体" w:eastAsia="宋体" w:cs="宋体"/>
          <w:color w:val="auto"/>
          <w:sz w:val="24"/>
          <w:highlight w:val="none"/>
        </w:rPr>
        <w:t>30.6.3向采购人、评审专家、采购代理机构工作人员行贿或者提供其他不正当利益的；</w:t>
      </w:r>
    </w:p>
    <w:p w14:paraId="2AB7B487">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30.6.4有法律、法规规定的其他损害采购人利益和社会公共利益情形的；</w:t>
      </w:r>
    </w:p>
    <w:p w14:paraId="58622A6A">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30.6.5其他违反招投标法律、法规和规章强制性规定的行为。</w:t>
      </w:r>
    </w:p>
    <w:p w14:paraId="4F6BC9B1">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30.7周口市公共资源交易中心政府采购中心将在政府采购相关网站上发布评审结果公告。</w:t>
      </w:r>
    </w:p>
    <w:p w14:paraId="0403290C">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31.中标通知书</w:t>
      </w:r>
    </w:p>
    <w:p w14:paraId="26876657">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31.1</w:t>
      </w:r>
      <w:r>
        <w:rPr>
          <w:rFonts w:hint="eastAsia" w:ascii="宋体" w:hAnsi="宋体" w:cs="宋体"/>
          <w:color w:val="auto"/>
          <w:sz w:val="24"/>
          <w:highlight w:val="none"/>
          <w:lang w:val="en-US" w:eastAsia="zh-CN"/>
        </w:rPr>
        <w:t>在发出中标公告后</w:t>
      </w:r>
      <w:r>
        <w:rPr>
          <w:rFonts w:hint="eastAsia" w:ascii="宋体" w:hAnsi="宋体" w:eastAsia="宋体" w:cs="宋体"/>
          <w:color w:val="auto"/>
          <w:sz w:val="24"/>
          <w:highlight w:val="none"/>
          <w:lang w:val="en-US" w:eastAsia="zh-CN"/>
        </w:rPr>
        <w:t>请采购人、中标人登录</w:t>
      </w:r>
      <w:r>
        <w:rPr>
          <w:rFonts w:hint="eastAsia" w:ascii="宋体" w:hAnsi="宋体" w:eastAsia="宋体" w:cs="宋体"/>
          <w:color w:val="auto"/>
          <w:sz w:val="24"/>
          <w:highlight w:val="none"/>
        </w:rPr>
        <w:t>周口市公共资源</w:t>
      </w:r>
      <w:r>
        <w:rPr>
          <w:rFonts w:hint="eastAsia" w:ascii="宋体" w:hAnsi="宋体" w:eastAsia="宋体" w:cs="宋体"/>
          <w:color w:val="auto"/>
          <w:sz w:val="24"/>
          <w:szCs w:val="24"/>
          <w:highlight w:val="none"/>
        </w:rPr>
        <w:t>交易</w:t>
      </w:r>
      <w:r>
        <w:rPr>
          <w:rFonts w:hint="eastAsia" w:ascii="宋体" w:hAnsi="宋体" w:eastAsia="宋体" w:cs="宋体"/>
          <w:color w:val="auto"/>
          <w:sz w:val="24"/>
          <w:highlight w:val="none"/>
          <w:lang w:eastAsia="zh-CN"/>
        </w:rPr>
        <w:t>中心网</w:t>
      </w:r>
      <w:r>
        <w:rPr>
          <w:rFonts w:hint="eastAsia" w:ascii="宋体" w:hAnsi="宋体" w:eastAsia="宋体" w:cs="宋体"/>
          <w:color w:val="auto"/>
          <w:sz w:val="24"/>
          <w:szCs w:val="24"/>
          <w:highlight w:val="none"/>
        </w:rPr>
        <w:t>（http://jyzx.zhoukou.gov.cn）</w:t>
      </w:r>
      <w:r>
        <w:rPr>
          <w:rFonts w:hint="eastAsia" w:ascii="宋体" w:hAnsi="宋体" w:eastAsia="宋体" w:cs="宋体"/>
          <w:color w:val="auto"/>
          <w:sz w:val="24"/>
          <w:szCs w:val="24"/>
          <w:highlight w:val="none"/>
          <w:lang w:val="en-US" w:eastAsia="zh-CN"/>
        </w:rPr>
        <w:t>自行下载</w:t>
      </w:r>
      <w:r>
        <w:rPr>
          <w:rFonts w:hint="eastAsia" w:ascii="宋体" w:hAnsi="宋体" w:eastAsia="宋体" w:cs="宋体"/>
          <w:color w:val="auto"/>
          <w:sz w:val="24"/>
          <w:highlight w:val="none"/>
        </w:rPr>
        <w:t>中标通知书。</w:t>
      </w:r>
    </w:p>
    <w:p w14:paraId="3D959FC2">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31.2周口市公共资源交易中心政府采购中心对未中标的投标人不做未中标原因的解释。</w:t>
      </w:r>
    </w:p>
    <w:p w14:paraId="23951AD2">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31.3评审结果确定后，中标人请及时到周口市公共资源交易中心政府采购中心领取中标通知书。</w:t>
      </w:r>
    </w:p>
    <w:p w14:paraId="4EA29349">
      <w:pPr>
        <w:spacing w:line="360" w:lineRule="auto"/>
        <w:ind w:firstLine="549"/>
        <w:rPr>
          <w:rFonts w:hint="eastAsia" w:ascii="宋体" w:hAnsi="宋体" w:eastAsia="宋体" w:cs="宋体"/>
          <w:color w:val="auto"/>
          <w:sz w:val="24"/>
          <w:szCs w:val="22"/>
          <w:highlight w:val="none"/>
        </w:rPr>
      </w:pPr>
      <w:r>
        <w:rPr>
          <w:rFonts w:hint="eastAsia" w:ascii="宋体" w:hAnsi="宋体" w:eastAsia="宋体" w:cs="宋体"/>
          <w:color w:val="auto"/>
          <w:sz w:val="24"/>
          <w:szCs w:val="22"/>
          <w:highlight w:val="none"/>
        </w:rPr>
        <w:t>32.中标服务费</w:t>
      </w:r>
    </w:p>
    <w:p w14:paraId="6B4CEBA1">
      <w:pPr>
        <w:spacing w:line="360" w:lineRule="auto"/>
        <w:rPr>
          <w:rFonts w:hint="eastAsia" w:ascii="宋体" w:hAnsi="宋体" w:eastAsia="宋体" w:cs="宋体"/>
          <w:bCs/>
          <w:color w:val="auto"/>
          <w:sz w:val="24"/>
          <w:highlight w:val="none"/>
        </w:rPr>
      </w:pPr>
      <w:r>
        <w:rPr>
          <w:rFonts w:hint="eastAsia" w:ascii="宋体" w:hAnsi="宋体" w:eastAsia="宋体" w:cs="宋体"/>
          <w:b/>
          <w:color w:val="auto"/>
          <w:sz w:val="24"/>
          <w:highlight w:val="none"/>
        </w:rPr>
        <w:t xml:space="preserve">    </w:t>
      </w:r>
      <w:r>
        <w:rPr>
          <w:rFonts w:hint="eastAsia" w:ascii="宋体" w:hAnsi="宋体" w:eastAsia="宋体" w:cs="宋体"/>
          <w:bCs/>
          <w:color w:val="auto"/>
          <w:sz w:val="24"/>
          <w:highlight w:val="none"/>
        </w:rPr>
        <w:t>本项目免收中标服务费</w:t>
      </w:r>
    </w:p>
    <w:p w14:paraId="539C80D3">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33.履约保证金</w:t>
      </w:r>
    </w:p>
    <w:p w14:paraId="67D5AAAF">
      <w:pPr>
        <w:spacing w:line="360" w:lineRule="auto"/>
        <w:ind w:firstLine="549"/>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无</w:t>
      </w:r>
    </w:p>
    <w:p w14:paraId="75B3E86B">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34.签订合同</w:t>
      </w:r>
    </w:p>
    <w:p w14:paraId="2B5564A1">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34.1中标人应在中标通知书发出之日起七日历日内（具体时间、地点见中标通知书）与采购人签订合同。招标文件、中标人的投标文件及澄清文件等，均作为合同的附件。</w:t>
      </w:r>
    </w:p>
    <w:p w14:paraId="3E21AF7F">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34.2 采购双方必须严格按照招标文件、投标文件及有关承诺签订采购合同，不得擅自变更。合同的标的、价款、质量、履行期限等主要条款应当与招标文件和中标人的投标文件的内容一致，招标人和中标人不得再行订立背离合同实质性内容的其他协议。对任何因双方擅自变更合同引起的问题周口市公共资源交易中心政府采购中心概不负责，合同风险由双方自行承担。</w:t>
      </w:r>
    </w:p>
    <w:p w14:paraId="6FBC4EC4">
      <w:pPr>
        <w:spacing w:line="360" w:lineRule="auto"/>
        <w:ind w:firstLine="523" w:firstLineChars="218"/>
        <w:rPr>
          <w:rFonts w:hint="eastAsia" w:ascii="宋体" w:hAnsi="宋体" w:eastAsia="宋体" w:cs="宋体"/>
          <w:color w:val="auto"/>
          <w:sz w:val="24"/>
          <w:highlight w:val="none"/>
        </w:rPr>
      </w:pPr>
      <w:r>
        <w:rPr>
          <w:rFonts w:hint="eastAsia" w:ascii="宋体" w:hAnsi="宋体" w:eastAsia="宋体" w:cs="宋体"/>
          <w:color w:val="auto"/>
          <w:sz w:val="24"/>
          <w:highlight w:val="none"/>
        </w:rPr>
        <w:t>34.3采购人保留以书面形式要求合同的卖方对其所投服务的装运方式、交货地点及服务细则等作适当调整的权利。</w:t>
      </w:r>
    </w:p>
    <w:p w14:paraId="23D2EB18">
      <w:pPr>
        <w:spacing w:line="360" w:lineRule="auto"/>
        <w:ind w:firstLine="549"/>
        <w:rPr>
          <w:rFonts w:hint="eastAsia" w:ascii="宋体" w:hAnsi="宋体" w:eastAsia="宋体" w:cs="宋体"/>
          <w:color w:val="auto"/>
          <w:sz w:val="24"/>
          <w:highlight w:val="none"/>
        </w:rPr>
      </w:pPr>
      <w:r>
        <w:rPr>
          <w:rFonts w:hint="eastAsia" w:ascii="宋体" w:hAnsi="宋体" w:eastAsia="宋体" w:cs="宋体"/>
          <w:b/>
          <w:color w:val="auto"/>
          <w:sz w:val="24"/>
          <w:highlight w:val="none"/>
        </w:rPr>
        <w:t>35.验收</w:t>
      </w:r>
    </w:p>
    <w:p w14:paraId="335B4B60">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由采购人自行组织对供应商的履约验收。</w:t>
      </w:r>
    </w:p>
    <w:p w14:paraId="488CF505">
      <w:pPr>
        <w:spacing w:line="360" w:lineRule="auto"/>
        <w:ind w:firstLine="549"/>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36</w:t>
      </w:r>
      <w:r>
        <w:rPr>
          <w:rFonts w:hint="eastAsia" w:ascii="宋体" w:hAnsi="宋体" w:eastAsia="宋体" w:cs="宋体"/>
          <w:b/>
          <w:color w:val="auto"/>
          <w:sz w:val="24"/>
          <w:highlight w:val="none"/>
        </w:rPr>
        <w:t>.</w:t>
      </w:r>
      <w:r>
        <w:rPr>
          <w:rFonts w:hint="eastAsia" w:ascii="宋体" w:hAnsi="宋体" w:eastAsia="宋体" w:cs="宋体"/>
          <w:b/>
          <w:bCs/>
          <w:color w:val="auto"/>
          <w:sz w:val="24"/>
          <w:highlight w:val="none"/>
        </w:rPr>
        <w:t>质疑</w:t>
      </w:r>
    </w:p>
    <w:p w14:paraId="249423CD">
      <w:pPr>
        <w:spacing w:line="360" w:lineRule="auto"/>
        <w:ind w:firstLine="523" w:firstLineChars="218"/>
        <w:rPr>
          <w:rFonts w:hint="eastAsia" w:ascii="宋体" w:hAnsi="宋体" w:eastAsia="宋体" w:cs="宋体"/>
          <w:bCs/>
          <w:color w:val="auto"/>
          <w:sz w:val="24"/>
          <w:highlight w:val="none"/>
          <w:lang w:eastAsia="zh-CN"/>
        </w:rPr>
      </w:pPr>
      <w:r>
        <w:rPr>
          <w:rFonts w:hint="eastAsia" w:ascii="宋体" w:hAnsi="宋体" w:eastAsia="宋体" w:cs="宋体"/>
          <w:bCs/>
          <w:color w:val="auto"/>
          <w:sz w:val="24"/>
          <w:highlight w:val="none"/>
        </w:rPr>
        <w:t>36.1</w:t>
      </w:r>
      <w:r>
        <w:rPr>
          <w:rFonts w:hint="eastAsia" w:ascii="宋体" w:hAnsi="宋体" w:cs="宋体"/>
          <w:bCs/>
          <w:color w:val="auto"/>
          <w:sz w:val="24"/>
          <w:highlight w:val="none"/>
        </w:rPr>
        <w:t>投标人认为采购过程、中标结果使自己的合法权益受到损害的，可以在知道或应当知道自己的权益受到损害之日起7个工作日内，由投标人授权代表（或法人代表）</w:t>
      </w:r>
      <w:r>
        <w:rPr>
          <w:rFonts w:hint="eastAsia" w:ascii="宋体" w:hAnsi="宋体" w:cs="宋体"/>
          <w:bCs/>
          <w:color w:val="auto"/>
          <w:sz w:val="24"/>
          <w:highlight w:val="none"/>
          <w:lang w:val="en-US" w:eastAsia="zh-CN"/>
        </w:rPr>
        <w:t>按照相关规定</w:t>
      </w:r>
      <w:r>
        <w:rPr>
          <w:rFonts w:hint="eastAsia" w:ascii="宋体" w:hAnsi="宋体" w:cs="宋体"/>
          <w:bCs/>
          <w:color w:val="auto"/>
          <w:sz w:val="24"/>
          <w:highlight w:val="none"/>
        </w:rPr>
        <w:t>，向</w:t>
      </w:r>
      <w:r>
        <w:rPr>
          <w:rFonts w:hint="eastAsia" w:ascii="宋体" w:hAnsi="宋体" w:cs="宋体"/>
          <w:color w:val="auto"/>
          <w:sz w:val="24"/>
          <w:highlight w:val="none"/>
        </w:rPr>
        <w:t>采购人</w:t>
      </w:r>
      <w:r>
        <w:rPr>
          <w:rFonts w:hint="eastAsia" w:ascii="宋体" w:hAnsi="宋体" w:cs="宋体"/>
          <w:bCs/>
          <w:color w:val="auto"/>
          <w:sz w:val="24"/>
          <w:highlight w:val="none"/>
        </w:rPr>
        <w:t>提出质疑，逾期不予受理。</w:t>
      </w:r>
    </w:p>
    <w:p w14:paraId="5F07659F">
      <w:pPr>
        <w:spacing w:line="360" w:lineRule="auto"/>
        <w:ind w:firstLine="523" w:firstLineChars="218"/>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36.2质疑书内容应包括质疑的详细理由和依据，并提供有关证明资料。</w:t>
      </w:r>
    </w:p>
    <w:p w14:paraId="3F5AD91A">
      <w:pPr>
        <w:spacing w:line="360" w:lineRule="auto"/>
        <w:ind w:firstLine="523" w:firstLineChars="218"/>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36.3 有以下情形之一的，视为无效质疑：</w:t>
      </w:r>
    </w:p>
    <w:p w14:paraId="166CB1D9">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36.3.1 未按规定时间或规定手续提交质疑的；</w:t>
      </w:r>
    </w:p>
    <w:p w14:paraId="58AF5BD3">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36.3.2 质疑内容含糊不清、没有提供详细理由和依据，无法进行核查的；</w:t>
      </w:r>
    </w:p>
    <w:p w14:paraId="1DEFB0DF">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36.3.3 其他不符合质疑程序和有关规定的。</w:t>
      </w:r>
    </w:p>
    <w:p w14:paraId="25DC2155">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被判定无效质疑的，采购人将书面回复投标单位其质疑无效的理由，并记录无效质疑一次。</w:t>
      </w:r>
    </w:p>
    <w:p w14:paraId="1A7F1796">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36.4</w:t>
      </w:r>
      <w:r>
        <w:rPr>
          <w:rFonts w:hint="eastAsia" w:ascii="宋体" w:hAnsi="宋体" w:eastAsia="宋体" w:cs="宋体"/>
          <w:color w:val="auto"/>
          <w:sz w:val="24"/>
          <w:highlight w:val="none"/>
        </w:rPr>
        <w:t>采购人</w:t>
      </w:r>
      <w:r>
        <w:rPr>
          <w:rFonts w:hint="eastAsia" w:ascii="宋体" w:hAnsi="宋体" w:eastAsia="宋体" w:cs="宋体"/>
          <w:bCs/>
          <w:color w:val="auto"/>
          <w:sz w:val="24"/>
          <w:highlight w:val="none"/>
        </w:rPr>
        <w:t>将在受到书面质疑后7个工作日内审查质疑事项，作出答复或相关处理决定，并以书面形式通知质疑人，但答复的内容不涉及商业秘密。</w:t>
      </w:r>
    </w:p>
    <w:p w14:paraId="446A3859">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color w:val="auto"/>
          <w:sz w:val="24"/>
          <w:highlight w:val="none"/>
        </w:rPr>
        <w:t>36.5</w:t>
      </w:r>
      <w:r>
        <w:rPr>
          <w:rFonts w:hint="eastAsia" w:ascii="宋体" w:hAnsi="宋体" w:eastAsia="宋体" w:cs="宋体"/>
          <w:bCs/>
          <w:color w:val="auto"/>
          <w:sz w:val="24"/>
          <w:highlight w:val="none"/>
        </w:rPr>
        <w:t>投诉人有下列情形之一的，属于虚假、恶意投诉，</w:t>
      </w:r>
      <w:r>
        <w:rPr>
          <w:rFonts w:hint="eastAsia" w:ascii="宋体" w:hAnsi="宋体" w:eastAsia="宋体" w:cs="宋体"/>
          <w:color w:val="auto"/>
          <w:sz w:val="24"/>
          <w:highlight w:val="none"/>
        </w:rPr>
        <w:t>政府采购监督管理部门</w:t>
      </w:r>
      <w:r>
        <w:rPr>
          <w:rFonts w:hint="eastAsia" w:ascii="宋体" w:hAnsi="宋体" w:eastAsia="宋体" w:cs="宋体"/>
          <w:bCs/>
          <w:color w:val="auto"/>
          <w:sz w:val="24"/>
          <w:highlight w:val="none"/>
        </w:rPr>
        <w:t>将驳回投诉，将其列入不良行为记录名单，并依法予以处罚：</w:t>
      </w:r>
    </w:p>
    <w:p w14:paraId="503E702E">
      <w:pPr>
        <w:spacing w:line="360" w:lineRule="auto"/>
        <w:ind w:firstLine="523" w:firstLineChars="218"/>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36.5.1一年内三次以上投诉均查无实据的；</w:t>
      </w:r>
    </w:p>
    <w:p w14:paraId="43AB81B6">
      <w:pPr>
        <w:spacing w:line="360" w:lineRule="auto"/>
        <w:ind w:firstLine="523" w:firstLineChars="218"/>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36.5.2捏造事实、提供虚假投诉材料或提供以非法手段取得的证明材料质疑的；</w:t>
      </w:r>
    </w:p>
    <w:p w14:paraId="4DC21956">
      <w:pPr>
        <w:spacing w:line="360" w:lineRule="auto"/>
        <w:ind w:firstLine="523" w:firstLineChars="218"/>
        <w:rPr>
          <w:rFonts w:hint="eastAsia" w:ascii="宋体" w:hAnsi="宋体" w:eastAsia="宋体" w:cs="宋体"/>
          <w:bCs/>
          <w:color w:val="auto"/>
          <w:sz w:val="24"/>
          <w:highlight w:val="none"/>
        </w:rPr>
      </w:pPr>
      <w:r>
        <w:rPr>
          <w:rFonts w:hint="eastAsia" w:ascii="宋体" w:hAnsi="宋体" w:eastAsia="宋体" w:cs="宋体"/>
          <w:color w:val="auto"/>
          <w:sz w:val="24"/>
          <w:highlight w:val="none"/>
        </w:rPr>
        <w:t>36.5.3其他经认定属于虚假、恶意投诉的行为</w:t>
      </w:r>
      <w:r>
        <w:rPr>
          <w:rFonts w:hint="eastAsia" w:ascii="宋体" w:hAnsi="宋体" w:eastAsia="宋体" w:cs="宋体"/>
          <w:bCs/>
          <w:color w:val="auto"/>
          <w:sz w:val="24"/>
          <w:highlight w:val="none"/>
        </w:rPr>
        <w:t>。</w:t>
      </w:r>
    </w:p>
    <w:p w14:paraId="099E6D60">
      <w:pPr>
        <w:spacing w:line="360" w:lineRule="auto"/>
        <w:ind w:firstLine="549"/>
        <w:rPr>
          <w:rFonts w:hint="eastAsia" w:ascii="宋体" w:hAnsi="宋体" w:eastAsia="宋体" w:cs="宋体"/>
          <w:b/>
          <w:color w:val="auto"/>
          <w:sz w:val="24"/>
          <w:highlight w:val="none"/>
        </w:rPr>
      </w:pPr>
      <w:r>
        <w:rPr>
          <w:rFonts w:hint="eastAsia" w:ascii="宋体" w:hAnsi="宋体" w:eastAsia="宋体" w:cs="宋体"/>
          <w:b/>
          <w:color w:val="auto"/>
          <w:sz w:val="24"/>
          <w:highlight w:val="none"/>
        </w:rPr>
        <w:t>37.未尽事宜</w:t>
      </w:r>
    </w:p>
    <w:p w14:paraId="08497CA0">
      <w:pPr>
        <w:spacing w:line="360" w:lineRule="auto"/>
        <w:ind w:firstLine="549"/>
        <w:rPr>
          <w:rFonts w:hint="eastAsia" w:ascii="宋体" w:hAnsi="宋体" w:eastAsia="宋体" w:cs="宋体"/>
          <w:color w:val="auto"/>
          <w:sz w:val="24"/>
          <w:highlight w:val="none"/>
        </w:rPr>
      </w:pPr>
      <w:r>
        <w:rPr>
          <w:rFonts w:hint="eastAsia" w:ascii="宋体" w:hAnsi="宋体" w:eastAsia="宋体" w:cs="宋体"/>
          <w:color w:val="auto"/>
          <w:sz w:val="24"/>
          <w:highlight w:val="none"/>
        </w:rPr>
        <w:t>37.1按《中华人民共和国政府采购法》及其他有关法律法规的规定执行。</w:t>
      </w:r>
    </w:p>
    <w:p w14:paraId="3593B347">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
          <w:color w:val="auto"/>
          <w:sz w:val="24"/>
          <w:highlight w:val="none"/>
        </w:rPr>
        <w:t>38.解释权</w:t>
      </w:r>
    </w:p>
    <w:p w14:paraId="038FD630">
      <w:pPr>
        <w:spacing w:line="360" w:lineRule="auto"/>
        <w:ind w:firstLine="549"/>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38.1本招标文件的解释权属于采购人。</w:t>
      </w:r>
    </w:p>
    <w:p w14:paraId="64BB60CD">
      <w:pPr>
        <w:spacing w:line="360" w:lineRule="auto"/>
        <w:rPr>
          <w:rFonts w:hint="eastAsia" w:ascii="宋体" w:hAnsi="宋体" w:eastAsia="宋体" w:cs="宋体"/>
          <w:bCs/>
          <w:color w:val="auto"/>
          <w:sz w:val="24"/>
          <w:highlight w:val="none"/>
        </w:rPr>
      </w:pPr>
    </w:p>
    <w:p w14:paraId="1D005BB8">
      <w:pPr>
        <w:pStyle w:val="31"/>
        <w:spacing w:beforeLines="0" w:afterLines="0" w:line="460" w:lineRule="exact"/>
        <w:ind w:left="0" w:firstLine="420" w:firstLineChars="200"/>
        <w:jc w:val="center"/>
        <w:rPr>
          <w:rFonts w:hint="eastAsia" w:ascii="宋体" w:hAnsi="宋体" w:eastAsia="宋体" w:cs="宋体"/>
          <w:color w:val="auto"/>
          <w:sz w:val="32"/>
          <w:szCs w:val="32"/>
          <w:highlight w:val="none"/>
        </w:rPr>
      </w:pPr>
      <w:bookmarkStart w:id="130" w:name="_Toc26087_WPSOffice_Level1"/>
      <w:bookmarkStart w:id="131" w:name="_Toc220232391"/>
      <w:r>
        <w:rPr>
          <w:rFonts w:hint="eastAsia" w:ascii="宋体" w:hAnsi="宋体" w:eastAsia="宋体" w:cs="宋体"/>
          <w:color w:val="auto"/>
          <w:highlight w:val="none"/>
        </w:rPr>
        <w:br w:type="page"/>
      </w:r>
      <w:bookmarkEnd w:id="130"/>
      <w:bookmarkEnd w:id="131"/>
    </w:p>
    <w:p w14:paraId="23548601">
      <w:pPr>
        <w:pStyle w:val="31"/>
        <w:spacing w:beforeLines="0" w:afterLines="0" w:line="460" w:lineRule="exact"/>
        <w:ind w:left="0"/>
        <w:jc w:val="center"/>
        <w:rPr>
          <w:rFonts w:hint="eastAsia" w:ascii="宋体" w:hAnsi="宋体" w:eastAsia="宋体" w:cs="宋体"/>
          <w:b/>
          <w:bCs/>
          <w:color w:val="auto"/>
          <w:kern w:val="2"/>
          <w:sz w:val="32"/>
          <w:szCs w:val="32"/>
          <w:highlight w:val="none"/>
          <w:lang w:val="en-US" w:eastAsia="zh-CN" w:bidi="ar-SA"/>
        </w:rPr>
      </w:pPr>
    </w:p>
    <w:p w14:paraId="41DA9BBF">
      <w:pPr>
        <w:pStyle w:val="5"/>
        <w:spacing w:before="0" w:after="0" w:line="500" w:lineRule="exact"/>
        <w:ind w:firstLine="0"/>
        <w:jc w:val="center"/>
        <w:rPr>
          <w:rFonts w:hint="eastAsia" w:ascii="宋体" w:hAnsi="宋体" w:eastAsia="宋体" w:cs="宋体"/>
          <w:color w:val="auto"/>
          <w:w w:val="92"/>
          <w:highlight w:val="none"/>
          <w:lang w:val="en-US"/>
        </w:rPr>
      </w:pPr>
      <w:bookmarkStart w:id="132" w:name="_Toc17699_WPSOffice_Level1"/>
      <w:r>
        <w:rPr>
          <w:rFonts w:hint="eastAsia" w:ascii="宋体" w:hAnsi="宋体" w:eastAsia="宋体" w:cs="宋体"/>
          <w:bCs/>
          <w:caps/>
          <w:smallCaps/>
          <w:color w:val="auto"/>
          <w:sz w:val="32"/>
          <w:szCs w:val="32"/>
          <w:highlight w:val="none"/>
          <w:lang w:val="en-US"/>
        </w:rPr>
        <w:t>第六章</w:t>
      </w:r>
    </w:p>
    <w:p w14:paraId="5259903D">
      <w:pPr>
        <w:pStyle w:val="5"/>
        <w:spacing w:before="0" w:after="0" w:line="500" w:lineRule="exact"/>
        <w:ind w:firstLine="0"/>
        <w:rPr>
          <w:rFonts w:hint="eastAsia" w:ascii="宋体" w:hAnsi="宋体" w:eastAsia="宋体" w:cs="宋体"/>
          <w:b w:val="0"/>
          <w:color w:val="auto"/>
          <w:sz w:val="32"/>
          <w:szCs w:val="32"/>
          <w:highlight w:val="none"/>
          <w:lang w:val="en-US"/>
        </w:rPr>
      </w:pPr>
      <w:r>
        <w:rPr>
          <w:rFonts w:hint="eastAsia" w:ascii="宋体" w:hAnsi="宋体" w:eastAsia="宋体" w:cs="宋体"/>
          <w:b w:val="0"/>
          <w:color w:val="auto"/>
          <w:w w:val="92"/>
          <w:sz w:val="32"/>
          <w:szCs w:val="32"/>
          <w:highlight w:val="none"/>
          <w:lang w:val="en-US"/>
        </w:rPr>
        <w:t>周口市</w:t>
      </w:r>
      <w:r>
        <w:rPr>
          <w:rFonts w:hint="eastAsia" w:ascii="宋体" w:hAnsi="宋体" w:eastAsia="宋体" w:cs="宋体"/>
          <w:b w:val="0"/>
          <w:color w:val="auto"/>
          <w:sz w:val="32"/>
          <w:szCs w:val="32"/>
          <w:highlight w:val="none"/>
          <w:lang w:val="en-US"/>
        </w:rPr>
        <w:t>政府采购合同（服务类）标准文本</w:t>
      </w:r>
    </w:p>
    <w:p w14:paraId="6C1B089E">
      <w:pPr>
        <w:ind w:firstLine="640" w:firstLineChars="200"/>
        <w:jc w:val="both"/>
        <w:rPr>
          <w:rFonts w:hint="eastAsia" w:ascii="宋体" w:hAnsi="宋体" w:eastAsia="宋体" w:cs="宋体"/>
          <w:color w:val="auto"/>
          <w:sz w:val="32"/>
          <w:szCs w:val="32"/>
          <w:highlight w:val="none"/>
          <w:lang w:val="en-US"/>
        </w:rPr>
      </w:pPr>
    </w:p>
    <w:p w14:paraId="44D41BAB">
      <w:pPr>
        <w:pStyle w:val="31"/>
        <w:spacing w:beforeLines="0" w:afterLines="0"/>
        <w:ind w:left="0" w:firstLine="640" w:firstLineChars="200"/>
        <w:jc w:val="both"/>
        <w:rPr>
          <w:rFonts w:hint="eastAsia" w:ascii="宋体" w:hAnsi="宋体" w:eastAsia="宋体" w:cs="宋体"/>
          <w:color w:val="auto"/>
          <w:sz w:val="32"/>
          <w:szCs w:val="32"/>
          <w:highlight w:val="none"/>
          <w:lang w:val="en-US"/>
        </w:rPr>
      </w:pPr>
    </w:p>
    <w:p w14:paraId="441C9B12">
      <w:pPr>
        <w:pStyle w:val="31"/>
        <w:spacing w:beforeLines="0" w:afterLines="0"/>
        <w:ind w:left="0" w:firstLine="640" w:firstLineChars="200"/>
        <w:jc w:val="both"/>
        <w:rPr>
          <w:rFonts w:hint="eastAsia" w:ascii="宋体" w:hAnsi="宋体" w:eastAsia="宋体" w:cs="宋体"/>
          <w:color w:val="auto"/>
          <w:sz w:val="32"/>
          <w:szCs w:val="32"/>
          <w:highlight w:val="none"/>
          <w:lang w:val="en-US"/>
        </w:rPr>
      </w:pPr>
    </w:p>
    <w:p w14:paraId="0DF5CB11">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741F4AD7">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6B37686F">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6ED39496">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6026913F">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2F589BC1">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121499C0">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政府采购项目名称：</w:t>
      </w:r>
    </w:p>
    <w:p w14:paraId="2EB36ADA">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政府采购项目编号：</w:t>
      </w:r>
    </w:p>
    <w:p w14:paraId="6E5CE107">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采      购    人：</w:t>
      </w:r>
    </w:p>
    <w:p w14:paraId="0F9AAB67">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供      应    商：</w:t>
      </w:r>
    </w:p>
    <w:p w14:paraId="3746013D">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 订 地：</w:t>
      </w:r>
    </w:p>
    <w:p w14:paraId="55459F5E">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r>
        <w:rPr>
          <w:rFonts w:hint="eastAsia" w:ascii="宋体" w:hAnsi="宋体" w:eastAsia="宋体" w:cs="宋体"/>
          <w:color w:val="auto"/>
          <w:sz w:val="30"/>
          <w:szCs w:val="30"/>
          <w:highlight w:val="none"/>
          <w:lang w:val="en-US"/>
        </w:rPr>
        <w:t>合 同 签订 时 间：</w:t>
      </w:r>
    </w:p>
    <w:p w14:paraId="78F67480">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0A5B0828">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73C94498">
      <w:pPr>
        <w:pStyle w:val="31"/>
        <w:spacing w:beforeLines="0" w:afterLines="0"/>
        <w:ind w:left="0" w:firstLine="600" w:firstLineChars="200"/>
        <w:jc w:val="both"/>
        <w:rPr>
          <w:rFonts w:hint="eastAsia" w:ascii="宋体" w:hAnsi="宋体" w:eastAsia="宋体" w:cs="宋体"/>
          <w:color w:val="auto"/>
          <w:sz w:val="30"/>
          <w:szCs w:val="30"/>
          <w:highlight w:val="none"/>
          <w:lang w:val="en-US"/>
        </w:rPr>
      </w:pPr>
    </w:p>
    <w:p w14:paraId="22C0D16D">
      <w:pP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br w:type="page"/>
      </w:r>
    </w:p>
    <w:p w14:paraId="44205041">
      <w:pPr>
        <w:pStyle w:val="31"/>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color w:val="auto"/>
          <w:sz w:val="32"/>
          <w:szCs w:val="32"/>
          <w:highlight w:val="none"/>
        </w:rPr>
        <w:t>合同签订指引</w:t>
      </w:r>
    </w:p>
    <w:p w14:paraId="2F7397F3">
      <w:pPr>
        <w:pStyle w:val="31"/>
        <w:spacing w:beforeLines="0" w:afterLines="0" w:line="440" w:lineRule="exact"/>
        <w:ind w:left="0"/>
        <w:jc w:val="both"/>
        <w:rPr>
          <w:rFonts w:hint="eastAsia" w:ascii="宋体" w:hAnsi="宋体" w:eastAsia="宋体" w:cs="宋体"/>
          <w:color w:val="auto"/>
          <w:sz w:val="30"/>
          <w:szCs w:val="30"/>
          <w:highlight w:val="none"/>
        </w:rPr>
      </w:pPr>
    </w:p>
    <w:p w14:paraId="7F578B3B">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一、采购人在签订合同时应提供的资料：</w:t>
      </w:r>
    </w:p>
    <w:p w14:paraId="567C2F35">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招标采购文件（以网上发布内容为准）；</w:t>
      </w:r>
    </w:p>
    <w:p w14:paraId="01006AB8">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2、该政府采购项目</w:t>
      </w:r>
      <w:r>
        <w:rPr>
          <w:rFonts w:hint="eastAsia" w:ascii="宋体" w:hAnsi="宋体" w:eastAsia="宋体" w:cs="宋体"/>
          <w:color w:val="auto"/>
          <w:sz w:val="21"/>
          <w:szCs w:val="21"/>
          <w:highlight w:val="none"/>
        </w:rPr>
        <w:t>招标文件的澄清和修改内容（公告内容）；</w:t>
      </w:r>
    </w:p>
    <w:p w14:paraId="41D7165D">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3、该政府采购项目评审报告；</w:t>
      </w:r>
    </w:p>
    <w:p w14:paraId="3C20C6DB">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4、采购单位法人授权委托书（法人到场并签字的除外）；</w:t>
      </w:r>
    </w:p>
    <w:p w14:paraId="50436400">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5、采购单位被授权人身份证件（法人到场并签字的除外）；</w:t>
      </w:r>
    </w:p>
    <w:p w14:paraId="20292559">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6、采购人和中标供应商（或服务商，下同）约定的其它内容（不得超出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5D269FD7">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二、</w:t>
      </w:r>
      <w:r>
        <w:rPr>
          <w:rFonts w:hint="eastAsia" w:ascii="宋体" w:hAnsi="宋体" w:eastAsia="宋体" w:cs="宋体"/>
          <w:color w:val="auto"/>
          <w:sz w:val="21"/>
          <w:szCs w:val="21"/>
          <w:highlight w:val="none"/>
        </w:rPr>
        <w:t>供应商在签订合同时应提供的资料：</w:t>
      </w:r>
    </w:p>
    <w:p w14:paraId="49E3DB3D">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1、该政府采购项目的</w:t>
      </w:r>
      <w:r>
        <w:rPr>
          <w:rFonts w:hint="eastAsia" w:ascii="宋体" w:hAnsi="宋体" w:eastAsia="宋体" w:cs="宋体"/>
          <w:color w:val="auto"/>
          <w:sz w:val="21"/>
          <w:szCs w:val="21"/>
          <w:highlight w:val="none"/>
        </w:rPr>
        <w:t>投标文件（纸质或</w:t>
      </w:r>
      <w:r>
        <w:rPr>
          <w:rFonts w:hint="eastAsia" w:ascii="宋体" w:hAnsi="宋体" w:eastAsia="宋体" w:cs="宋体"/>
          <w:color w:val="auto"/>
          <w:sz w:val="21"/>
          <w:szCs w:val="21"/>
          <w:highlight w:val="none"/>
          <w:lang w:val="en-US"/>
        </w:rPr>
        <w:t>DPF格式的电子</w:t>
      </w:r>
      <w:r>
        <w:rPr>
          <w:rFonts w:hint="eastAsia" w:ascii="宋体" w:hAnsi="宋体" w:eastAsia="宋体" w:cs="宋体"/>
          <w:color w:val="auto"/>
          <w:sz w:val="21"/>
          <w:szCs w:val="21"/>
          <w:highlight w:val="none"/>
        </w:rPr>
        <w:t>投标文件）；</w:t>
      </w:r>
    </w:p>
    <w:p w14:paraId="420835FC">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2、针对该项目评审时评审委员会提出的质询答复（纸质并签章）；</w:t>
      </w:r>
    </w:p>
    <w:p w14:paraId="3E6A7CC0">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3、该政府采购项目中标通知书；</w:t>
      </w:r>
    </w:p>
    <w:p w14:paraId="2F5E8630">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4、供应商法人授权委托书（法人到场并签字的除外）；</w:t>
      </w:r>
    </w:p>
    <w:p w14:paraId="6187C736">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5、供应商被授权人身份证件（法人到场并签字的除外）；</w:t>
      </w:r>
    </w:p>
    <w:p w14:paraId="546022E1">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6、供应商和采购人约定的其它内容（不得超出</w:t>
      </w:r>
      <w:r>
        <w:rPr>
          <w:rFonts w:hint="eastAsia" w:ascii="宋体" w:hAnsi="宋体" w:eastAsia="宋体" w:cs="宋体"/>
          <w:color w:val="auto"/>
          <w:sz w:val="21"/>
          <w:szCs w:val="21"/>
          <w:highlight w:val="none"/>
        </w:rPr>
        <w:t>招标采购文件实质性内容</w:t>
      </w:r>
      <w:r>
        <w:rPr>
          <w:rFonts w:hint="eastAsia" w:ascii="宋体" w:hAnsi="宋体" w:eastAsia="宋体" w:cs="宋体"/>
          <w:color w:val="auto"/>
          <w:sz w:val="21"/>
          <w:szCs w:val="21"/>
          <w:highlight w:val="none"/>
          <w:lang w:val="en-US"/>
        </w:rPr>
        <w:t>）。</w:t>
      </w:r>
    </w:p>
    <w:p w14:paraId="060C211E">
      <w:pPr>
        <w:pStyle w:val="31"/>
        <w:spacing w:beforeLines="0" w:afterLines="0" w:line="440" w:lineRule="exact"/>
        <w:ind w:left="0" w:firstLine="420" w:firstLineChars="200"/>
        <w:jc w:val="both"/>
        <w:rPr>
          <w:rFonts w:hint="eastAsia" w:ascii="宋体" w:hAnsi="宋体" w:eastAsia="宋体" w:cs="宋体"/>
          <w:color w:val="auto"/>
          <w:sz w:val="30"/>
          <w:szCs w:val="30"/>
          <w:highlight w:val="none"/>
        </w:rPr>
      </w:pPr>
      <w:r>
        <w:rPr>
          <w:rFonts w:hint="eastAsia" w:ascii="宋体" w:hAnsi="宋体" w:eastAsia="宋体" w:cs="宋体"/>
          <w:color w:val="auto"/>
          <w:sz w:val="21"/>
          <w:szCs w:val="21"/>
          <w:highlight w:val="none"/>
        </w:rPr>
        <w:t>三、本合同签订后二个工作日内有采购人在“周口市政府采购网”上进行合同公示。</w:t>
      </w:r>
    </w:p>
    <w:p w14:paraId="4A02B1D5">
      <w:pPr>
        <w:pStyle w:val="31"/>
        <w:spacing w:beforeLines="0" w:afterLines="0" w:line="440" w:lineRule="exact"/>
        <w:ind w:left="0"/>
        <w:jc w:val="center"/>
        <w:rPr>
          <w:rFonts w:hint="eastAsia" w:ascii="宋体" w:hAnsi="宋体" w:eastAsia="宋体" w:cs="宋体"/>
          <w:bCs/>
          <w:color w:val="auto"/>
          <w:sz w:val="32"/>
          <w:szCs w:val="32"/>
          <w:highlight w:val="none"/>
        </w:rPr>
      </w:pPr>
    </w:p>
    <w:p w14:paraId="5A2141EE">
      <w:pPr>
        <w:pStyle w:val="31"/>
        <w:spacing w:beforeLines="0" w:afterLines="0" w:line="440" w:lineRule="exact"/>
        <w:ind w:left="0"/>
        <w:jc w:val="center"/>
        <w:rPr>
          <w:rFonts w:hint="eastAsia" w:ascii="宋体" w:hAnsi="宋体" w:eastAsia="宋体" w:cs="宋体"/>
          <w:color w:val="auto"/>
          <w:sz w:val="32"/>
          <w:szCs w:val="32"/>
          <w:highlight w:val="none"/>
        </w:rPr>
      </w:pPr>
      <w:r>
        <w:rPr>
          <w:rFonts w:hint="eastAsia" w:ascii="宋体" w:hAnsi="宋体" w:eastAsia="宋体" w:cs="宋体"/>
          <w:bCs/>
          <w:color w:val="auto"/>
          <w:sz w:val="32"/>
          <w:szCs w:val="32"/>
          <w:highlight w:val="none"/>
        </w:rPr>
        <w:t>供应商履约验收指引</w:t>
      </w:r>
    </w:p>
    <w:p w14:paraId="2AEF92A4">
      <w:pPr>
        <w:pStyle w:val="31"/>
        <w:spacing w:beforeLines="0" w:afterLines="0" w:line="440" w:lineRule="exact"/>
        <w:ind w:left="0"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 w:val="21"/>
          <w:szCs w:val="21"/>
          <w:highlight w:val="none"/>
          <w:lang w:val="en-US"/>
        </w:rPr>
        <w:t>1、供应商不得</w:t>
      </w:r>
      <w:r>
        <w:rPr>
          <w:rFonts w:hint="eastAsia" w:ascii="宋体" w:hAnsi="宋体" w:eastAsia="宋体" w:cs="宋体"/>
          <w:color w:val="auto"/>
          <w:sz w:val="21"/>
          <w:szCs w:val="21"/>
          <w:highlight w:val="none"/>
        </w:rPr>
        <w:t>擅自变更合同标的服务内容；</w:t>
      </w:r>
    </w:p>
    <w:p w14:paraId="3DDE9BE6">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2、</w:t>
      </w:r>
      <w:r>
        <w:rPr>
          <w:rFonts w:hint="eastAsia" w:ascii="宋体" w:hAnsi="宋体" w:eastAsia="宋体" w:cs="宋体"/>
          <w:color w:val="auto"/>
          <w:sz w:val="21"/>
          <w:szCs w:val="21"/>
          <w:highlight w:val="none"/>
        </w:rPr>
        <w:t>不得以次充优，随意降低服务标准和水平；</w:t>
      </w:r>
    </w:p>
    <w:p w14:paraId="6B414197">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3、</w:t>
      </w:r>
      <w:r>
        <w:rPr>
          <w:rFonts w:hint="eastAsia" w:ascii="宋体" w:hAnsi="宋体" w:eastAsia="宋体" w:cs="宋体"/>
          <w:color w:val="auto"/>
          <w:sz w:val="21"/>
          <w:szCs w:val="21"/>
          <w:highlight w:val="none"/>
        </w:rPr>
        <w:t>对因客观上采购人采购需求发生变化造成的，应提供采、供双方的纸质备忘录材料；</w:t>
      </w:r>
    </w:p>
    <w:p w14:paraId="606F0838">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4、在满足</w:t>
      </w:r>
      <w:r>
        <w:rPr>
          <w:rFonts w:hint="eastAsia" w:ascii="宋体" w:hAnsi="宋体" w:eastAsia="宋体" w:cs="宋体"/>
          <w:color w:val="auto"/>
          <w:sz w:val="21"/>
          <w:szCs w:val="21"/>
          <w:highlight w:val="none"/>
        </w:rPr>
        <w:t>验收条件</w:t>
      </w:r>
      <w:r>
        <w:rPr>
          <w:rFonts w:hint="eastAsia" w:ascii="宋体" w:hAnsi="宋体" w:eastAsia="宋体" w:cs="宋体"/>
          <w:color w:val="auto"/>
          <w:sz w:val="21"/>
          <w:szCs w:val="21"/>
          <w:highlight w:val="none"/>
          <w:lang w:val="en-US"/>
        </w:rPr>
        <w:t>5个工作日</w:t>
      </w:r>
      <w:r>
        <w:rPr>
          <w:rFonts w:hint="eastAsia" w:ascii="宋体" w:hAnsi="宋体" w:eastAsia="宋体" w:cs="宋体"/>
          <w:color w:val="auto"/>
          <w:sz w:val="21"/>
          <w:szCs w:val="21"/>
          <w:highlight w:val="none"/>
        </w:rPr>
        <w:t>内通知采购人组织验收；</w:t>
      </w:r>
    </w:p>
    <w:p w14:paraId="59C79697">
      <w:pPr>
        <w:pStyle w:val="31"/>
        <w:spacing w:beforeLines="0" w:afterLines="0" w:line="440" w:lineRule="exact"/>
        <w:ind w:left="0" w:firstLine="420" w:firstLineChars="200"/>
        <w:jc w:val="both"/>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val="en-US"/>
        </w:rPr>
        <w:t>5、供应商应提供需验收服务的清单、标准、达到的水平等量化资料；</w:t>
      </w:r>
    </w:p>
    <w:p w14:paraId="70F16359">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6、采、供</w:t>
      </w:r>
      <w:r>
        <w:rPr>
          <w:rFonts w:hint="eastAsia" w:ascii="宋体" w:hAnsi="宋体" w:eastAsia="宋体" w:cs="宋体"/>
          <w:color w:val="auto"/>
          <w:sz w:val="21"/>
          <w:szCs w:val="21"/>
          <w:highlight w:val="none"/>
        </w:rPr>
        <w:t>双方约定的验收机构及相关人员组成情况。</w:t>
      </w:r>
    </w:p>
    <w:p w14:paraId="1E32B3D3">
      <w:pPr>
        <w:pStyle w:val="31"/>
        <w:spacing w:beforeLines="0" w:afterLines="0" w:line="440" w:lineRule="exact"/>
        <w:ind w:left="0" w:firstLine="420" w:firstLineChars="200"/>
        <w:jc w:val="both"/>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rPr>
        <w:t>7、督促采购人在项目验收结束并达到相关要求后一个工作日内，在</w:t>
      </w:r>
      <w:r>
        <w:rPr>
          <w:rFonts w:hint="eastAsia" w:ascii="宋体" w:hAnsi="宋体" w:eastAsia="宋体" w:cs="宋体"/>
          <w:color w:val="auto"/>
          <w:sz w:val="21"/>
          <w:szCs w:val="21"/>
          <w:highlight w:val="none"/>
        </w:rPr>
        <w:t>“周口市政府采购网”上进行“履约验收”公示。</w:t>
      </w:r>
    </w:p>
    <w:p w14:paraId="67B1BBFE">
      <w:pPr>
        <w:pStyle w:val="5"/>
        <w:spacing w:before="0" w:after="0" w:line="500" w:lineRule="exact"/>
        <w:ind w:firstLine="0"/>
        <w:jc w:val="both"/>
        <w:rPr>
          <w:rFonts w:hint="eastAsia" w:ascii="宋体" w:hAnsi="宋体" w:eastAsia="宋体" w:cs="宋体"/>
          <w:b w:val="0"/>
          <w:bCs w:val="0"/>
          <w:color w:val="auto"/>
          <w:sz w:val="21"/>
          <w:szCs w:val="21"/>
          <w:highlight w:val="none"/>
        </w:rPr>
      </w:pPr>
    </w:p>
    <w:p w14:paraId="2CB5B30A">
      <w:pPr>
        <w:pStyle w:val="5"/>
        <w:spacing w:before="0" w:after="0" w:line="500" w:lineRule="exact"/>
        <w:ind w:firstLine="0"/>
        <w:rPr>
          <w:rFonts w:hint="eastAsia" w:ascii="宋体" w:hAnsi="宋体" w:eastAsia="宋体" w:cs="宋体"/>
          <w:b w:val="0"/>
          <w:color w:val="auto"/>
          <w:sz w:val="44"/>
          <w:szCs w:val="44"/>
          <w:highlight w:val="none"/>
        </w:rPr>
      </w:pPr>
      <w:r>
        <w:rPr>
          <w:rFonts w:hint="eastAsia" w:ascii="宋体" w:hAnsi="宋体" w:eastAsia="宋体" w:cs="宋体"/>
          <w:b w:val="0"/>
          <w:color w:val="auto"/>
          <w:sz w:val="44"/>
          <w:szCs w:val="44"/>
          <w:highlight w:val="none"/>
        </w:rPr>
        <w:t>服务合同内容</w:t>
      </w:r>
    </w:p>
    <w:p w14:paraId="26E595B9">
      <w:pPr>
        <w:spacing w:line="360" w:lineRule="auto"/>
        <w:ind w:firstLine="420" w:firstLineChars="200"/>
        <w:jc w:val="both"/>
        <w:rPr>
          <w:rFonts w:hint="eastAsia" w:ascii="宋体" w:hAnsi="宋体" w:eastAsia="宋体" w:cs="宋体"/>
          <w:color w:val="auto"/>
          <w:szCs w:val="27"/>
          <w:highlight w:val="none"/>
        </w:rPr>
      </w:pPr>
    </w:p>
    <w:p w14:paraId="73E0C0C2">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 xml:space="preserve">采购人（甲方）： </w:t>
      </w:r>
    </w:p>
    <w:p w14:paraId="024A7B57">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供应商（乙方）：</w:t>
      </w:r>
    </w:p>
    <w:p w14:paraId="697DE234">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签订地点：</w:t>
      </w:r>
    </w:p>
    <w:p w14:paraId="6A887EBE">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项目名称：</w:t>
      </w:r>
    </w:p>
    <w:p w14:paraId="1C82FCA2">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szCs w:val="27"/>
          <w:highlight w:val="none"/>
        </w:rPr>
        <w:t>项目编号：</w:t>
      </w:r>
    </w:p>
    <w:p w14:paraId="2F907901">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财政委托号：</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(财政资金项目必须填写)</w:t>
      </w:r>
    </w:p>
    <w:p w14:paraId="43FF4B99">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本项目经批准采用</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采购方式，经本项目评审委员会认真评审，决定将采购合同授予乙方。为进一步明确双方的责任，确保合同的顺利履行，根据《中华人民共和国</w:t>
      </w:r>
      <w:r>
        <w:rPr>
          <w:rFonts w:hint="eastAsia" w:ascii="宋体" w:hAnsi="宋体" w:eastAsia="宋体" w:cs="宋体"/>
          <w:color w:val="auto"/>
          <w:szCs w:val="27"/>
          <w:highlight w:val="none"/>
          <w:lang w:val="en-US" w:eastAsia="zh-CN"/>
        </w:rPr>
        <w:t>政府</w:t>
      </w:r>
      <w:r>
        <w:rPr>
          <w:rFonts w:hint="eastAsia" w:ascii="宋体" w:hAnsi="宋体" w:eastAsia="宋体" w:cs="宋体"/>
          <w:color w:val="auto"/>
          <w:szCs w:val="27"/>
          <w:highlight w:val="none"/>
        </w:rPr>
        <w:t>采购法》、《中华人民共和国合同法》之规定，经甲乙双方充分协商，特订立本合同，以便共同遵守。</w:t>
      </w:r>
    </w:p>
    <w:p w14:paraId="3BCF0999">
      <w:pPr>
        <w:spacing w:line="360" w:lineRule="auto"/>
        <w:ind w:firstLine="422" w:firstLineChars="200"/>
        <w:jc w:val="both"/>
        <w:rPr>
          <w:rFonts w:hint="eastAsia" w:ascii="宋体" w:hAnsi="宋体" w:eastAsia="宋体" w:cs="宋体"/>
          <w:color w:val="auto"/>
          <w:highlight w:val="none"/>
          <w:u w:val="single"/>
        </w:rPr>
      </w:pPr>
      <w:r>
        <w:rPr>
          <w:rFonts w:hint="eastAsia" w:ascii="宋体" w:hAnsi="宋体" w:eastAsia="宋体" w:cs="宋体"/>
          <w:b/>
          <w:bCs/>
          <w:color w:val="auto"/>
          <w:szCs w:val="27"/>
          <w:highlight w:val="none"/>
        </w:rPr>
        <w:t>第一条</w:t>
      </w:r>
      <w:r>
        <w:rPr>
          <w:rFonts w:hint="eastAsia" w:ascii="宋体" w:hAnsi="宋体" w:eastAsia="宋体" w:cs="宋体"/>
          <w:color w:val="auto"/>
          <w:szCs w:val="27"/>
          <w:highlight w:val="none"/>
        </w:rPr>
        <w:t>   服务的内容、标准、数量和价格：（若服务项目过多则见附表，如有附表则必须加盖印章）</w:t>
      </w:r>
    </w:p>
    <w:tbl>
      <w:tblPr>
        <w:tblStyle w:val="23"/>
        <w:tblW w:w="8837"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83"/>
        <w:gridCol w:w="1623"/>
        <w:gridCol w:w="902"/>
        <w:gridCol w:w="902"/>
        <w:gridCol w:w="1071"/>
        <w:gridCol w:w="1250"/>
        <w:gridCol w:w="1106"/>
      </w:tblGrid>
      <w:tr w14:paraId="5BC42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380A40AA">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服务内容</w:t>
            </w:r>
          </w:p>
        </w:tc>
        <w:tc>
          <w:tcPr>
            <w:tcW w:w="1623" w:type="dxa"/>
            <w:noWrap w:val="0"/>
            <w:vAlign w:val="top"/>
          </w:tcPr>
          <w:p w14:paraId="1079F2F2">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标准水平</w:t>
            </w:r>
          </w:p>
        </w:tc>
        <w:tc>
          <w:tcPr>
            <w:tcW w:w="902" w:type="dxa"/>
            <w:noWrap w:val="0"/>
            <w:vAlign w:val="top"/>
          </w:tcPr>
          <w:p w14:paraId="2EA96253">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单位</w:t>
            </w:r>
          </w:p>
        </w:tc>
        <w:tc>
          <w:tcPr>
            <w:tcW w:w="902" w:type="dxa"/>
            <w:noWrap w:val="0"/>
            <w:vAlign w:val="top"/>
          </w:tcPr>
          <w:p w14:paraId="2AD46B74">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数量</w:t>
            </w:r>
          </w:p>
        </w:tc>
        <w:tc>
          <w:tcPr>
            <w:tcW w:w="1071" w:type="dxa"/>
            <w:noWrap w:val="0"/>
            <w:vAlign w:val="top"/>
          </w:tcPr>
          <w:p w14:paraId="76E41952">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单价</w:t>
            </w:r>
          </w:p>
        </w:tc>
        <w:tc>
          <w:tcPr>
            <w:tcW w:w="1250" w:type="dxa"/>
            <w:noWrap w:val="0"/>
            <w:vAlign w:val="top"/>
          </w:tcPr>
          <w:p w14:paraId="386DD24F">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小计</w:t>
            </w:r>
          </w:p>
        </w:tc>
        <w:tc>
          <w:tcPr>
            <w:tcW w:w="1106" w:type="dxa"/>
            <w:noWrap w:val="0"/>
            <w:vAlign w:val="top"/>
          </w:tcPr>
          <w:p w14:paraId="30E6C828">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备注</w:t>
            </w:r>
          </w:p>
        </w:tc>
      </w:tr>
      <w:tr w14:paraId="49398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15E7353E">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5CDFBDE6">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5FD8C14A">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7EE77023">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5216CAAE">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53E7A574">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2FB5C9BA">
            <w:pPr>
              <w:spacing w:line="360" w:lineRule="auto"/>
              <w:ind w:firstLine="420" w:firstLineChars="200"/>
              <w:jc w:val="both"/>
              <w:rPr>
                <w:rFonts w:hint="eastAsia" w:ascii="宋体" w:hAnsi="宋体" w:eastAsia="宋体" w:cs="宋体"/>
                <w:color w:val="auto"/>
                <w:highlight w:val="none"/>
              </w:rPr>
            </w:pPr>
          </w:p>
        </w:tc>
      </w:tr>
      <w:tr w14:paraId="00865E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6612F0F7">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19540DE3">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243D70BC">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59203A78">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126366D5">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27547E1A">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457517A8">
            <w:pPr>
              <w:spacing w:line="360" w:lineRule="auto"/>
              <w:ind w:firstLine="420" w:firstLineChars="200"/>
              <w:jc w:val="both"/>
              <w:rPr>
                <w:rFonts w:hint="eastAsia" w:ascii="宋体" w:hAnsi="宋体" w:eastAsia="宋体" w:cs="宋体"/>
                <w:color w:val="auto"/>
                <w:highlight w:val="none"/>
              </w:rPr>
            </w:pPr>
          </w:p>
        </w:tc>
      </w:tr>
      <w:tr w14:paraId="3B75F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 w:hRule="atLeast"/>
        </w:trPr>
        <w:tc>
          <w:tcPr>
            <w:tcW w:w="1983" w:type="dxa"/>
            <w:noWrap w:val="0"/>
            <w:vAlign w:val="top"/>
          </w:tcPr>
          <w:p w14:paraId="66283AF7">
            <w:pPr>
              <w:spacing w:line="360" w:lineRule="auto"/>
              <w:ind w:firstLine="420" w:firstLineChars="200"/>
              <w:jc w:val="both"/>
              <w:rPr>
                <w:rFonts w:hint="eastAsia" w:ascii="宋体" w:hAnsi="宋体" w:eastAsia="宋体" w:cs="宋体"/>
                <w:color w:val="auto"/>
                <w:highlight w:val="none"/>
              </w:rPr>
            </w:pPr>
          </w:p>
        </w:tc>
        <w:tc>
          <w:tcPr>
            <w:tcW w:w="1623" w:type="dxa"/>
            <w:noWrap w:val="0"/>
            <w:vAlign w:val="top"/>
          </w:tcPr>
          <w:p w14:paraId="019FFA26">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0D99FA93">
            <w:pPr>
              <w:spacing w:line="360" w:lineRule="auto"/>
              <w:ind w:firstLine="420" w:firstLineChars="200"/>
              <w:jc w:val="both"/>
              <w:rPr>
                <w:rFonts w:hint="eastAsia" w:ascii="宋体" w:hAnsi="宋体" w:eastAsia="宋体" w:cs="宋体"/>
                <w:color w:val="auto"/>
                <w:highlight w:val="none"/>
              </w:rPr>
            </w:pPr>
          </w:p>
        </w:tc>
        <w:tc>
          <w:tcPr>
            <w:tcW w:w="902" w:type="dxa"/>
            <w:noWrap w:val="0"/>
            <w:vAlign w:val="top"/>
          </w:tcPr>
          <w:p w14:paraId="1226390D">
            <w:pPr>
              <w:spacing w:line="360" w:lineRule="auto"/>
              <w:ind w:firstLine="420" w:firstLineChars="200"/>
              <w:jc w:val="both"/>
              <w:rPr>
                <w:rFonts w:hint="eastAsia" w:ascii="宋体" w:hAnsi="宋体" w:eastAsia="宋体" w:cs="宋体"/>
                <w:color w:val="auto"/>
                <w:highlight w:val="none"/>
              </w:rPr>
            </w:pPr>
          </w:p>
        </w:tc>
        <w:tc>
          <w:tcPr>
            <w:tcW w:w="1071" w:type="dxa"/>
            <w:noWrap w:val="0"/>
            <w:vAlign w:val="top"/>
          </w:tcPr>
          <w:p w14:paraId="384A5181">
            <w:pPr>
              <w:spacing w:line="360" w:lineRule="auto"/>
              <w:ind w:firstLine="420" w:firstLineChars="200"/>
              <w:jc w:val="both"/>
              <w:rPr>
                <w:rFonts w:hint="eastAsia" w:ascii="宋体" w:hAnsi="宋体" w:eastAsia="宋体" w:cs="宋体"/>
                <w:color w:val="auto"/>
                <w:highlight w:val="none"/>
              </w:rPr>
            </w:pPr>
          </w:p>
        </w:tc>
        <w:tc>
          <w:tcPr>
            <w:tcW w:w="1250" w:type="dxa"/>
            <w:noWrap w:val="0"/>
            <w:vAlign w:val="top"/>
          </w:tcPr>
          <w:p w14:paraId="6244A441">
            <w:pPr>
              <w:spacing w:line="360" w:lineRule="auto"/>
              <w:ind w:firstLine="420" w:firstLineChars="200"/>
              <w:jc w:val="both"/>
              <w:rPr>
                <w:rFonts w:hint="eastAsia" w:ascii="宋体" w:hAnsi="宋体" w:eastAsia="宋体" w:cs="宋体"/>
                <w:color w:val="auto"/>
                <w:highlight w:val="none"/>
              </w:rPr>
            </w:pPr>
          </w:p>
        </w:tc>
        <w:tc>
          <w:tcPr>
            <w:tcW w:w="1106" w:type="dxa"/>
            <w:noWrap w:val="0"/>
            <w:vAlign w:val="top"/>
          </w:tcPr>
          <w:p w14:paraId="0C0E207B">
            <w:pPr>
              <w:spacing w:line="360" w:lineRule="auto"/>
              <w:ind w:firstLine="420" w:firstLineChars="200"/>
              <w:jc w:val="both"/>
              <w:rPr>
                <w:rFonts w:hint="eastAsia" w:ascii="宋体" w:hAnsi="宋体" w:eastAsia="宋体" w:cs="宋体"/>
                <w:color w:val="auto"/>
                <w:highlight w:val="none"/>
              </w:rPr>
            </w:pPr>
          </w:p>
        </w:tc>
      </w:tr>
      <w:tr w14:paraId="2F734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4" w:hRule="atLeast"/>
        </w:trPr>
        <w:tc>
          <w:tcPr>
            <w:tcW w:w="8837" w:type="dxa"/>
            <w:gridSpan w:val="7"/>
            <w:noWrap w:val="0"/>
            <w:vAlign w:val="top"/>
          </w:tcPr>
          <w:p w14:paraId="0D08BD8B">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合同总价款（大小写）：</w:t>
            </w:r>
          </w:p>
          <w:p w14:paraId="0C3F4E30">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8"/>
                <w:highlight w:val="none"/>
              </w:rPr>
              <w:t>备注：上述服务包含相关设备购置、人员工资及售后服务、税金、劳保基金、人员培训等费用。</w:t>
            </w:r>
          </w:p>
        </w:tc>
      </w:tr>
    </w:tbl>
    <w:p w14:paraId="1DE795AF">
      <w:pPr>
        <w:spacing w:line="360" w:lineRule="auto"/>
        <w:ind w:firstLine="422" w:firstLineChars="200"/>
        <w:jc w:val="both"/>
        <w:rPr>
          <w:rFonts w:hint="eastAsia" w:ascii="宋体" w:hAnsi="宋体" w:eastAsia="宋体" w:cs="宋体"/>
          <w:color w:val="auto"/>
          <w:highlight w:val="none"/>
        </w:rPr>
      </w:pPr>
      <w:r>
        <w:rPr>
          <w:rFonts w:hint="eastAsia" w:ascii="宋体" w:hAnsi="宋体" w:eastAsia="宋体" w:cs="宋体"/>
          <w:b/>
          <w:bCs/>
          <w:color w:val="auto"/>
          <w:szCs w:val="27"/>
          <w:highlight w:val="none"/>
        </w:rPr>
        <w:t xml:space="preserve">第二条  </w:t>
      </w:r>
      <w:r>
        <w:rPr>
          <w:rFonts w:hint="eastAsia" w:ascii="宋体" w:hAnsi="宋体" w:eastAsia="宋体" w:cs="宋体"/>
          <w:color w:val="auto"/>
          <w:szCs w:val="27"/>
          <w:highlight w:val="none"/>
        </w:rPr>
        <w:t>服务标准（包括达到的水平要求），按下列第（ ）项执行：</w:t>
      </w:r>
    </w:p>
    <w:p w14:paraId="5FB79593">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①按国家标准执行；②按部颁标准执行；③若无以上标准，则应不低于同行业服务标准；④有特殊要求的，按甲乙双方在合同中商定的要求执行；</w:t>
      </w:r>
    </w:p>
    <w:p w14:paraId="251CAA80">
      <w:pPr>
        <w:spacing w:line="360" w:lineRule="auto"/>
        <w:ind w:firstLine="420" w:firstLineChars="200"/>
        <w:jc w:val="both"/>
        <w:rPr>
          <w:rFonts w:hint="eastAsia" w:ascii="宋体" w:hAnsi="宋体" w:eastAsia="宋体" w:cs="宋体"/>
          <w:color w:val="auto"/>
          <w:szCs w:val="27"/>
          <w:highlight w:val="none"/>
          <w:u w:val="single"/>
        </w:rPr>
      </w:pPr>
      <w:r>
        <w:rPr>
          <w:rFonts w:hint="eastAsia" w:ascii="宋体" w:hAnsi="宋体" w:eastAsia="宋体" w:cs="宋体"/>
          <w:color w:val="auto"/>
          <w:highlight w:val="none"/>
        </w:rPr>
        <w:t>乙方提供的服务标准和水平应与招标采购文件规定的标准和水平相一致。</w:t>
      </w:r>
    </w:p>
    <w:p w14:paraId="06E9728D">
      <w:pPr>
        <w:spacing w:line="360" w:lineRule="auto"/>
        <w:ind w:firstLine="42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第三条  </w:t>
      </w:r>
      <w:r>
        <w:rPr>
          <w:rFonts w:hint="eastAsia" w:ascii="宋体" w:hAnsi="宋体" w:eastAsia="宋体" w:cs="宋体"/>
          <w:color w:val="auto"/>
          <w:szCs w:val="27"/>
          <w:highlight w:val="none"/>
        </w:rPr>
        <w:t>服务的方式、方法、、地点和期限</w:t>
      </w:r>
    </w:p>
    <w:p w14:paraId="45FB8580">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1、服务方式：</w:t>
      </w:r>
    </w:p>
    <w:p w14:paraId="2ED5848E">
      <w:pPr>
        <w:spacing w:line="360" w:lineRule="auto"/>
        <w:ind w:firstLine="420" w:firstLineChars="200"/>
        <w:jc w:val="both"/>
        <w:rPr>
          <w:rFonts w:hint="eastAsia" w:ascii="宋体" w:hAnsi="宋体" w:eastAsia="宋体" w:cs="宋体"/>
          <w:color w:val="auto"/>
          <w:highlight w:val="none"/>
          <w:lang w:val="en-US"/>
        </w:rPr>
      </w:pPr>
      <w:r>
        <w:rPr>
          <w:rFonts w:hint="eastAsia" w:ascii="宋体" w:hAnsi="宋体" w:eastAsia="宋体" w:cs="宋体"/>
          <w:color w:val="auto"/>
          <w:highlight w:val="none"/>
          <w:lang w:val="en-US"/>
        </w:rPr>
        <w:t>2、服务方法：</w:t>
      </w:r>
    </w:p>
    <w:p w14:paraId="1A8AE57A">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2、服务地点：</w:t>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r>
        <w:rPr>
          <w:rFonts w:hint="eastAsia" w:ascii="宋体" w:hAnsi="宋体" w:eastAsia="宋体" w:cs="宋体"/>
          <w:color w:val="auto"/>
          <w:szCs w:val="27"/>
          <w:highlight w:val="none"/>
        </w:rPr>
        <w:softHyphen/>
      </w:r>
    </w:p>
    <w:p w14:paraId="0432DEBB">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3、服务期限：</w:t>
      </w:r>
    </w:p>
    <w:p w14:paraId="5C192510">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第四条</w:t>
      </w:r>
      <w:r>
        <w:rPr>
          <w:rFonts w:hint="eastAsia" w:ascii="宋体" w:hAnsi="宋体" w:eastAsia="宋体" w:cs="宋体"/>
          <w:color w:val="auto"/>
          <w:highlight w:val="none"/>
          <w:lang w:val="en-US"/>
        </w:rPr>
        <w:t xml:space="preserve">  </w:t>
      </w:r>
      <w:r>
        <w:rPr>
          <w:rFonts w:hint="eastAsia" w:ascii="宋体" w:hAnsi="宋体" w:eastAsia="宋体" w:cs="宋体"/>
          <w:color w:val="auto"/>
          <w:highlight w:val="none"/>
        </w:rPr>
        <w:t>费用及支付方式</w:t>
      </w:r>
    </w:p>
    <w:p w14:paraId="080EA5FF">
      <w:pPr>
        <w:pStyle w:val="9"/>
        <w:kinsoku w:val="0"/>
        <w:overflowPunct w:val="0"/>
        <w:spacing w:line="364" w:lineRule="auto"/>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sz w:val="21"/>
          <w:highlight w:val="none"/>
        </w:rPr>
        <w:t>(一)</w:t>
      </w:r>
      <w:r>
        <w:rPr>
          <w:rFonts w:hint="eastAsia" w:ascii="宋体" w:hAnsi="宋体" w:eastAsia="宋体" w:cs="宋体"/>
          <w:b/>
          <w:color w:val="auto"/>
          <w:highlight w:val="none"/>
        </w:rPr>
        <w:t>本项目</w:t>
      </w:r>
      <w:r>
        <w:rPr>
          <w:rFonts w:hint="eastAsia" w:ascii="宋体" w:hAnsi="宋体" w:eastAsia="宋体" w:cs="宋体"/>
          <w:b/>
          <w:color w:val="auto"/>
          <w:highlight w:val="none"/>
          <w:lang w:val="en-US"/>
        </w:rPr>
        <w:t>费用有以</w:t>
      </w:r>
      <w:r>
        <w:rPr>
          <w:rFonts w:hint="eastAsia" w:ascii="宋体" w:hAnsi="宋体" w:eastAsia="宋体" w:cs="宋体"/>
          <w:b/>
          <w:color w:val="auto"/>
          <w:highlight w:val="none"/>
        </w:rPr>
        <w:t>下组成：</w:t>
      </w:r>
    </w:p>
    <w:p w14:paraId="2F7A027C">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 xml:space="preserve"> 1、XX 万元；</w:t>
      </w:r>
    </w:p>
    <w:p w14:paraId="056082F4">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2、XX 万元；</w:t>
      </w:r>
    </w:p>
    <w:p w14:paraId="7A90DBA6">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w:t>
      </w:r>
    </w:p>
    <w:p w14:paraId="4F6656D0">
      <w:pPr>
        <w:pStyle w:val="9"/>
        <w:kinsoku w:val="0"/>
        <w:overflowPunct w:val="0"/>
        <w:ind w:left="0" w:firstLine="422" w:firstLineChars="200"/>
        <w:jc w:val="both"/>
        <w:rPr>
          <w:rFonts w:hint="eastAsia" w:ascii="宋体" w:hAnsi="宋体" w:eastAsia="宋体" w:cs="宋体"/>
          <w:b/>
          <w:color w:val="auto"/>
          <w:highlight w:val="none"/>
        </w:rPr>
      </w:pPr>
      <w:r>
        <w:rPr>
          <w:rFonts w:hint="eastAsia" w:ascii="宋体" w:hAnsi="宋体" w:eastAsia="宋体" w:cs="宋体"/>
          <w:b/>
          <w:color w:val="auto"/>
          <w:sz w:val="21"/>
          <w:highlight w:val="none"/>
        </w:rPr>
        <w:t>(二)</w:t>
      </w:r>
      <w:r>
        <w:rPr>
          <w:rFonts w:hint="eastAsia" w:ascii="宋体" w:hAnsi="宋体" w:eastAsia="宋体" w:cs="宋体"/>
          <w:b/>
          <w:color w:val="auto"/>
          <w:highlight w:val="none"/>
        </w:rPr>
        <w:t>费用支付方式：</w:t>
      </w:r>
    </w:p>
    <w:p w14:paraId="0564D375">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1、XXXX；</w:t>
      </w:r>
    </w:p>
    <w:p w14:paraId="28C00446">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2、XXXX ；</w:t>
      </w:r>
    </w:p>
    <w:p w14:paraId="011197D8">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3、在支付前甲方对乙方的服务进行考核或验收，合格的支付相应款 项。乙方须向甲方出具合法有效完整的完税发票及凭证资料进行支付结算。</w:t>
      </w:r>
    </w:p>
    <w:p w14:paraId="003D2E8B">
      <w:pPr>
        <w:pStyle w:val="9"/>
        <w:kinsoku w:val="0"/>
        <w:overflowPunct w:val="0"/>
        <w:ind w:left="0" w:firstLine="562" w:firstLineChars="200"/>
        <w:jc w:val="both"/>
        <w:rPr>
          <w:rFonts w:hint="eastAsia" w:ascii="宋体" w:hAnsi="宋体" w:eastAsia="宋体" w:cs="宋体"/>
          <w:color w:val="auto"/>
          <w:highlight w:val="none"/>
        </w:rPr>
      </w:pPr>
      <w:r>
        <w:rPr>
          <w:rFonts w:hint="eastAsia" w:ascii="宋体" w:hAnsi="宋体" w:eastAsia="宋体" w:cs="宋体"/>
          <w:b/>
          <w:color w:val="auto"/>
          <w:highlight w:val="none"/>
        </w:rPr>
        <w:t>第五条</w:t>
      </w:r>
      <w:r>
        <w:rPr>
          <w:rFonts w:hint="eastAsia" w:ascii="宋体" w:hAnsi="宋体" w:eastAsia="宋体" w:cs="宋体"/>
          <w:b/>
          <w:color w:val="auto"/>
          <w:highlight w:val="none"/>
          <w:lang w:val="en-US"/>
        </w:rPr>
        <w:t xml:space="preserve">  </w:t>
      </w:r>
      <w:r>
        <w:rPr>
          <w:rFonts w:hint="eastAsia" w:ascii="宋体" w:hAnsi="宋体" w:eastAsia="宋体" w:cs="宋体"/>
          <w:b/>
          <w:color w:val="auto"/>
          <w:highlight w:val="none"/>
        </w:rPr>
        <w:t xml:space="preserve">付款条件   </w:t>
      </w:r>
      <w:r>
        <w:rPr>
          <w:rFonts w:hint="eastAsia" w:ascii="宋体" w:hAnsi="宋体" w:eastAsia="宋体" w:cs="宋体"/>
          <w:color w:val="auto"/>
          <w:highlight w:val="none"/>
        </w:rPr>
        <w:t xml:space="preserve">               </w:t>
      </w:r>
    </w:p>
    <w:p w14:paraId="00C501E5">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本合同以人民币付款。</w:t>
      </w:r>
    </w:p>
    <w:p w14:paraId="07BD84F7">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该项目是否实行预付款：</w:t>
      </w:r>
    </w:p>
    <w:p w14:paraId="770F1448">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实行预付款的条件和比例：</w:t>
      </w:r>
    </w:p>
    <w:p w14:paraId="46479CAC">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合同款项结算方式和支付比例：</w:t>
      </w:r>
      <w:r>
        <w:rPr>
          <w:rFonts w:hint="eastAsia" w:ascii="宋体" w:hAnsi="宋体" w:eastAsia="宋体" w:cs="宋体"/>
          <w:color w:val="auto"/>
          <w:highlight w:val="none"/>
          <w:lang w:val="en-US"/>
        </w:rPr>
        <w:t xml:space="preserve">   </w:t>
      </w:r>
    </w:p>
    <w:p w14:paraId="6706B1B9">
      <w:pPr>
        <w:spacing w:line="360" w:lineRule="auto"/>
        <w:ind w:firstLine="420" w:firstLineChars="200"/>
        <w:jc w:val="both"/>
        <w:rPr>
          <w:rFonts w:hint="eastAsia" w:ascii="宋体" w:hAnsi="宋体" w:eastAsia="宋体" w:cs="宋体"/>
          <w:color w:val="auto"/>
          <w:highlight w:val="none"/>
          <w:u w:val="single"/>
        </w:rPr>
      </w:pPr>
      <w:r>
        <w:rPr>
          <w:rFonts w:hint="eastAsia" w:ascii="宋体" w:hAnsi="宋体" w:eastAsia="宋体" w:cs="宋体"/>
          <w:color w:val="auto"/>
          <w:highlight w:val="none"/>
          <w:lang w:val="en-US"/>
        </w:rPr>
        <w:t>(</w:t>
      </w:r>
      <w:r>
        <w:rPr>
          <w:rFonts w:hint="eastAsia" w:ascii="宋体" w:hAnsi="宋体" w:eastAsia="宋体" w:cs="宋体"/>
          <w:color w:val="auto"/>
          <w:highlight w:val="none"/>
        </w:rPr>
        <w:t>具体付款方式</w:t>
      </w:r>
      <w:r>
        <w:rPr>
          <w:rFonts w:hint="eastAsia" w:ascii="宋体" w:hAnsi="宋体" w:eastAsia="宋体" w:cs="宋体"/>
          <w:color w:val="auto"/>
          <w:highlight w:val="none"/>
          <w:u w:val="single"/>
        </w:rPr>
        <w:t>按投标人须知前附表以及采、购双方的具体约定</w:t>
      </w:r>
    </w:p>
    <w:p w14:paraId="6FAD491E">
      <w:pPr>
        <w:pStyle w:val="31"/>
        <w:spacing w:beforeLines="0" w:afterLines="0"/>
        <w:ind w:left="0" w:firstLine="562" w:firstLineChars="200"/>
        <w:jc w:val="both"/>
        <w:rPr>
          <w:rFonts w:hint="eastAsia" w:ascii="宋体" w:hAnsi="宋体" w:eastAsia="宋体" w:cs="宋体"/>
          <w:b/>
          <w:color w:val="auto"/>
          <w:kern w:val="2"/>
          <w:sz w:val="28"/>
          <w:szCs w:val="20"/>
          <w:highlight w:val="none"/>
          <w:lang w:val="en-US" w:eastAsia="zh-CN" w:bidi="ar-SA"/>
        </w:rPr>
      </w:pPr>
      <w:r>
        <w:rPr>
          <w:rFonts w:hint="eastAsia" w:ascii="宋体" w:hAnsi="宋体" w:eastAsia="宋体" w:cs="宋体"/>
          <w:b/>
          <w:color w:val="auto"/>
          <w:kern w:val="2"/>
          <w:sz w:val="28"/>
          <w:szCs w:val="20"/>
          <w:highlight w:val="none"/>
          <w:lang w:val="en-US" w:eastAsia="zh-CN" w:bidi="ar-SA"/>
        </w:rPr>
        <w:t>第六条  验收方法</w:t>
      </w:r>
    </w:p>
    <w:p w14:paraId="2F3EBA22">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1.甲、乙双方应严格履行合同有关条款，如果验收过程中发现乙方在没有征得采购人同意的情况下擅自变更合同服务内容，将拒绝通过验收，由此引起的一切后果及损失由乙方承担。</w:t>
      </w:r>
    </w:p>
    <w:p w14:paraId="61935C67">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甲方应承担项目验收的主体责任。项目验收时，应成立三人以上（由甲、乙双方、管理人员、技术人员、纪检等相关人员组成）验收小组，明确责任，严格依照采购文件、中标（成交）通知书、政府采购合同及相关验收规范进行核对、验收、签字形成验收结论，并出具书面验收报告。验收人员有不同意见的，按少数服从多数的原则，但在验收报告上应注明不同意见的内容。</w:t>
      </w:r>
    </w:p>
    <w:p w14:paraId="43A13F1E">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3、甲方视情况可以邀请参加本项目的其他投标人或者第三方机构参与验收，参与验收的投标人或者第三方机构的意见作为验收书的参考资料一并存档。</w:t>
      </w:r>
    </w:p>
    <w:p w14:paraId="36EAEA80">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4、涉及安全、消防、环保等其他需要由质检或行业主管部门进行验收的项目，必须邀请相关部门或相关专家参与验收。涉及社会化服务的项目，甲方将要求社会公众人员参与验收。</w:t>
      </w:r>
    </w:p>
    <w:p w14:paraId="753DE3B8">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检测、验收费用承担方式：</w:t>
      </w:r>
    </w:p>
    <w:p w14:paraId="47B9132F">
      <w:pPr>
        <w:pStyle w:val="9"/>
        <w:kinsoku w:val="0"/>
        <w:overflowPunct w:val="0"/>
        <w:spacing w:line="364" w:lineRule="auto"/>
        <w:ind w:left="0" w:firstLine="562" w:firstLineChars="200"/>
        <w:jc w:val="both"/>
        <w:rPr>
          <w:rFonts w:hint="eastAsia" w:ascii="宋体" w:hAnsi="宋体" w:eastAsia="宋体" w:cs="宋体"/>
          <w:b/>
          <w:color w:val="auto"/>
          <w:highlight w:val="none"/>
        </w:rPr>
      </w:pPr>
      <w:r>
        <w:rPr>
          <w:rFonts w:hint="eastAsia" w:ascii="宋体" w:hAnsi="宋体" w:eastAsia="宋体" w:cs="宋体"/>
          <w:b/>
          <w:color w:val="auto"/>
          <w:highlight w:val="none"/>
        </w:rPr>
        <w:t>第七条 知识产权</w:t>
      </w:r>
    </w:p>
    <w:p w14:paraId="6384A2E0">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乙方应保证所提供的服务或其任何一部分均不会侵犯任何第三方的专利权、商标权或著作权。</w:t>
      </w:r>
    </w:p>
    <w:p w14:paraId="60460A1F">
      <w:pPr>
        <w:pStyle w:val="4"/>
        <w:kinsoku w:val="0"/>
        <w:overflowPunct w:val="0"/>
        <w:ind w:left="0" w:firstLine="602"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第八条 无产权瑕疵条款</w:t>
      </w:r>
    </w:p>
    <w:p w14:paraId="447508FB">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乙方保证所提供的服务的所有权完全属于乙方且无任何抵押、查封等产权瑕疵。如有产权瑕疵的，视为乙方违约。乙方应负担由此而产生的一切损失。</w:t>
      </w:r>
    </w:p>
    <w:p w14:paraId="24374B64">
      <w:pPr>
        <w:spacing w:line="400" w:lineRule="exact"/>
        <w:ind w:firstLine="422" w:firstLineChars="200"/>
        <w:jc w:val="both"/>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 xml:space="preserve">第九条  </w:t>
      </w:r>
      <w:r>
        <w:rPr>
          <w:rFonts w:hint="eastAsia" w:ascii="宋体" w:hAnsi="宋体" w:eastAsia="宋体" w:cs="宋体"/>
          <w:color w:val="auto"/>
          <w:szCs w:val="27"/>
          <w:highlight w:val="none"/>
        </w:rPr>
        <w:t>履约（或质量）保证金</w:t>
      </w:r>
    </w:p>
    <w:p w14:paraId="42CE882D">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1.本项目不收取履约保证金。确需收取履约保证金的，甲方不得要求乙方以现款的形式提供。乙方提供的履约保证金按规定格式以银行保函形式提供，与此有关的费用由服务方承担。</w:t>
      </w:r>
    </w:p>
    <w:p w14:paraId="2A524C2D">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2.若确需质量保证金的，质量保证金不得超过合同总价款的5%</w:t>
      </w:r>
    </w:p>
    <w:p w14:paraId="0F07359B">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3.如乙方未能履行其合同规定的任何义务，甲方有权从履约保证金中取得补偿。</w:t>
      </w:r>
    </w:p>
    <w:p w14:paraId="5CEA8C8F">
      <w:pPr>
        <w:pStyle w:val="4"/>
        <w:kinsoku w:val="0"/>
        <w:overflowPunct w:val="0"/>
        <w:spacing w:line="400" w:lineRule="exact"/>
        <w:ind w:left="0" w:firstLine="602"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第十条 甲方的权利和义务</w:t>
      </w:r>
    </w:p>
    <w:p w14:paraId="18E67581">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1、甲方有权对合同规定范围内乙方的行为进行监督和检查，拥有监管权。有权定期核对乙方提供服务所配备的人员数量。对甲方认为不合理的部分有权下达整改通知书，并要求乙方限期整改。</w:t>
      </w:r>
    </w:p>
    <w:p w14:paraId="499362F3">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2、甲方有权依据双方签订的考评办法对乙方提供的服务进行定期考评。当考评结果未达到标准时，有权依据考评办法约定的数额扣除履约保证金。</w:t>
      </w:r>
    </w:p>
    <w:p w14:paraId="6193E29D">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3、负责检查监督乙方管理工作的实施及制度的执行情况。</w:t>
      </w:r>
    </w:p>
    <w:p w14:paraId="65B1DD71">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4、根据本合同规定，按时向乙方支付应付服务费用。</w:t>
      </w:r>
    </w:p>
    <w:p w14:paraId="15EF7086">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lang w:val="en-US" w:eastAsia="zh-CN"/>
        </w:rPr>
        <w:t xml:space="preserve">5、国家法律、法规所规定由甲方承担的其他责任    </w:t>
      </w:r>
      <w:r>
        <w:rPr>
          <w:rFonts w:hint="eastAsia" w:ascii="宋体" w:hAnsi="宋体" w:eastAsia="宋体" w:cs="宋体"/>
          <w:color w:val="auto"/>
          <w:highlight w:val="none"/>
          <w:lang w:val="en-US"/>
        </w:rPr>
        <w:t xml:space="preserve">           </w:t>
      </w:r>
    </w:p>
    <w:p w14:paraId="773174AE">
      <w:pPr>
        <w:pStyle w:val="9"/>
        <w:kinsoku w:val="0"/>
        <w:overflowPunct w:val="0"/>
        <w:spacing w:line="364" w:lineRule="auto"/>
        <w:ind w:left="0" w:firstLine="562" w:firstLineChars="200"/>
        <w:jc w:val="both"/>
        <w:rPr>
          <w:rFonts w:hint="eastAsia" w:ascii="宋体" w:hAnsi="宋体" w:eastAsia="宋体" w:cs="宋体"/>
          <w:b/>
          <w:color w:val="auto"/>
          <w:highlight w:val="none"/>
        </w:rPr>
      </w:pPr>
      <w:r>
        <w:rPr>
          <w:rFonts w:hint="eastAsia" w:ascii="宋体" w:hAnsi="宋体" w:eastAsia="宋体" w:cs="宋体"/>
          <w:b/>
          <w:color w:val="auto"/>
          <w:highlight w:val="none"/>
        </w:rPr>
        <w:t>第十一条 乙方的权利和义务</w:t>
      </w:r>
    </w:p>
    <w:p w14:paraId="54F9F0BD">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1、对本合同规定的委托服务范围内的项目享有管理权及服务义务。</w:t>
      </w:r>
    </w:p>
    <w:p w14:paraId="08044DDA">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2、根据本合同的规定向甲方收取相关服务费用，并有权在本项目管理范围内管理及合理使用。</w:t>
      </w:r>
    </w:p>
    <w:p w14:paraId="613D0454">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3、及时向甲方通告本项目服务范围内有关服务的重大事项，及时配合处理投诉。</w:t>
      </w:r>
    </w:p>
    <w:p w14:paraId="2534FE4B">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4、接受项目行业管理部门及政府有关部门的指导，接受甲方的监督。</w:t>
      </w:r>
    </w:p>
    <w:p w14:paraId="1FD11A79">
      <w:pPr>
        <w:spacing w:line="360" w:lineRule="auto"/>
        <w:ind w:firstLine="420" w:firstLineChars="200"/>
        <w:jc w:val="both"/>
        <w:rPr>
          <w:rFonts w:hint="eastAsia" w:ascii="宋体" w:hAnsi="宋体" w:eastAsia="宋体" w:cs="宋体"/>
          <w:color w:val="auto"/>
          <w:highlight w:val="none"/>
          <w:lang w:val="en-US" w:eastAsia="zh-CN"/>
        </w:rPr>
      </w:pPr>
      <w:r>
        <w:rPr>
          <w:rFonts w:hint="eastAsia" w:ascii="宋体" w:hAnsi="宋体" w:eastAsia="宋体" w:cs="宋体"/>
          <w:color w:val="auto"/>
          <w:highlight w:val="none"/>
          <w:lang w:val="en-US" w:eastAsia="zh-CN"/>
        </w:rPr>
        <w:t>5、国家法律、法规所规定由乙方承担的其它责任。</w:t>
      </w:r>
    </w:p>
    <w:p w14:paraId="387717FD">
      <w:pPr>
        <w:pStyle w:val="9"/>
        <w:kinsoku w:val="0"/>
        <w:overflowPunct w:val="0"/>
        <w:spacing w:line="364" w:lineRule="auto"/>
        <w:ind w:left="0" w:firstLine="562" w:firstLineChars="200"/>
        <w:jc w:val="both"/>
        <w:rPr>
          <w:rFonts w:hint="eastAsia" w:ascii="宋体" w:hAnsi="宋体" w:eastAsia="宋体" w:cs="宋体"/>
          <w:b/>
          <w:color w:val="auto"/>
          <w:highlight w:val="none"/>
        </w:rPr>
      </w:pPr>
      <w:r>
        <w:rPr>
          <w:rFonts w:hint="eastAsia" w:ascii="宋体" w:hAnsi="宋体" w:eastAsia="宋体" w:cs="宋体"/>
          <w:b/>
          <w:color w:val="auto"/>
          <w:highlight w:val="none"/>
        </w:rPr>
        <w:t>第十二条 违约责任</w:t>
      </w:r>
    </w:p>
    <w:p w14:paraId="6A5AE308">
      <w:pPr>
        <w:pStyle w:val="9"/>
        <w:kinsoku w:val="0"/>
        <w:overflowPunct w:val="0"/>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1、甲乙双方必须遵守本合同并执行合同中的各项规定，保证本合同的正常履行。</w:t>
      </w:r>
    </w:p>
    <w:p w14:paraId="56E20CC5">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2、甲方逾期付款的，除应及时付足款项外，应向乙方偿付欠款总额万分之 /天的违约金；逾期付款超过 天的，乙方有权终止合同。</w:t>
      </w:r>
    </w:p>
    <w:p w14:paraId="53827A3E">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3、如因乙方工作人员在履行职务过程中的疏忽、失职、过错等故意或者过失原因给甲方造成损失或侵害，包括但不限于甲方本身的财产损失、由此而导致的甲方对任何第三方的法律责任等，乙方对此均应承担全部的赔偿责任。</w:t>
      </w:r>
    </w:p>
    <w:p w14:paraId="69328A25">
      <w:pPr>
        <w:pStyle w:val="9"/>
        <w:kinsoku w:val="0"/>
        <w:overflowPunct w:val="0"/>
        <w:spacing w:line="364" w:lineRule="auto"/>
        <w:ind w:left="0" w:firstLine="420" w:firstLineChars="200"/>
        <w:jc w:val="both"/>
        <w:rPr>
          <w:rFonts w:hint="eastAsia" w:ascii="宋体" w:hAnsi="宋体" w:eastAsia="宋体" w:cs="宋体"/>
          <w:color w:val="auto"/>
          <w:kern w:val="2"/>
          <w:sz w:val="21"/>
          <w:highlight w:val="none"/>
          <w:lang w:val="en-US" w:eastAsia="zh-CN" w:bidi="ar-SA"/>
        </w:rPr>
      </w:pPr>
      <w:r>
        <w:rPr>
          <w:rFonts w:hint="eastAsia" w:ascii="宋体" w:hAnsi="宋体" w:eastAsia="宋体" w:cs="宋体"/>
          <w:color w:val="auto"/>
          <w:kern w:val="2"/>
          <w:sz w:val="21"/>
          <w:highlight w:val="none"/>
          <w:lang w:val="en-US" w:eastAsia="zh-CN" w:bidi="ar-SA"/>
        </w:rPr>
        <w:t>4、变更、中止或者终止合同，有过错的一方应当承担赔偿责任，双方都有过错的，各自承担相应的责任。</w:t>
      </w:r>
    </w:p>
    <w:p w14:paraId="4B4F5358">
      <w:pPr>
        <w:spacing w:line="360" w:lineRule="auto"/>
        <w:ind w:firstLine="422" w:firstLineChars="200"/>
        <w:jc w:val="both"/>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第十三条 </w:t>
      </w:r>
      <w:r>
        <w:rPr>
          <w:rFonts w:hint="eastAsia" w:ascii="宋体" w:hAnsi="宋体" w:eastAsia="宋体" w:cs="宋体"/>
          <w:bCs/>
          <w:color w:val="auto"/>
          <w:highlight w:val="none"/>
        </w:rPr>
        <w:t>转让与分包</w:t>
      </w:r>
    </w:p>
    <w:p w14:paraId="40FF9A54">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除甲方事先书面同意外，乙方不得部分转让或全部转让其应履行的合同义务。</w:t>
      </w:r>
    </w:p>
    <w:p w14:paraId="05710329">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乙方应在投标文件中或以其他书面形式对甲方确认本合同项下所授予的所有分包合同。但该确认不解除乙方承担的本合同下的任何责任或义务。意即在本合同项下，乙方对甲方负总责。</w:t>
      </w:r>
    </w:p>
    <w:p w14:paraId="26651167">
      <w:pPr>
        <w:spacing w:line="360" w:lineRule="auto"/>
        <w:ind w:firstLine="422" w:firstLineChars="200"/>
        <w:jc w:val="both"/>
        <w:rPr>
          <w:rFonts w:hint="eastAsia" w:ascii="宋体" w:hAnsi="宋体" w:eastAsia="宋体" w:cs="宋体"/>
          <w:b/>
          <w:color w:val="auto"/>
          <w:highlight w:val="none"/>
        </w:rPr>
      </w:pPr>
      <w:r>
        <w:rPr>
          <w:rFonts w:hint="eastAsia" w:ascii="宋体" w:hAnsi="宋体" w:eastAsia="宋体" w:cs="宋体"/>
          <w:b/>
          <w:bCs/>
          <w:color w:val="auto"/>
          <w:szCs w:val="27"/>
          <w:highlight w:val="none"/>
        </w:rPr>
        <w:t xml:space="preserve">第十四条 </w:t>
      </w:r>
      <w:r>
        <w:rPr>
          <w:rFonts w:hint="eastAsia" w:ascii="宋体" w:hAnsi="宋体" w:eastAsia="宋体" w:cs="宋体"/>
          <w:bCs/>
          <w:color w:val="auto"/>
          <w:highlight w:val="none"/>
        </w:rPr>
        <w:t>合同文件及资料的使用</w:t>
      </w:r>
    </w:p>
    <w:p w14:paraId="68B2A9FF">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乙方在未经甲方同意的情况下，不得将合同、合同中的规定、有关计划、图纸、样本或甲方为上述内容向乙方提供的资料透露给任何人。</w:t>
      </w:r>
    </w:p>
    <w:p w14:paraId="3FC00C1D">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w:t>
      </w:r>
      <w:r>
        <w:rPr>
          <w:rFonts w:hint="eastAsia" w:ascii="宋体" w:hAnsi="宋体" w:eastAsia="宋体" w:cs="宋体"/>
          <w:color w:val="auto"/>
          <w:highlight w:val="none"/>
        </w:rPr>
        <w:t>除非执行合同需要，在事先未得到甲方同意的情况下，乙方不得使用前款所列的任何文件和资料。</w:t>
      </w:r>
    </w:p>
    <w:p w14:paraId="083E82D1">
      <w:pPr>
        <w:pStyle w:val="4"/>
        <w:kinsoku w:val="0"/>
        <w:overflowPunct w:val="0"/>
        <w:ind w:left="0" w:firstLine="602"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第十五条 不可抗力事件处理</w:t>
      </w:r>
    </w:p>
    <w:p w14:paraId="62B2CB38">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w:t>
      </w:r>
      <w:r>
        <w:rPr>
          <w:rFonts w:hint="eastAsia" w:ascii="宋体" w:hAnsi="宋体" w:eastAsia="宋体" w:cs="宋体"/>
          <w:color w:val="auto"/>
          <w:highlight w:val="none"/>
        </w:rPr>
        <w:t>如果双方任何一方由于受诸如战争、严重火灾、洪水、台风、地震等不可抗力的事故，致使影响合同履行时，履行合同的期限应予以延长，延长的期限应相当于事故所影响的时间。不可抗力事故系指买卖双方在缔结合同时所不能预见的，并且它的发生及其后果是无法避免和无法克服的事故。</w:t>
      </w:r>
    </w:p>
    <w:p w14:paraId="75F7BD69">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甲乙双方的任何一方由于不可抗力的原因不能履行合同时，应及时向对方通报不能履行或不能完全履行的理由，在取得有关部门证明以后，允许延期履行、部分履行或者不履行合同，并根据情况可部分或全部免予承担违约责任。</w:t>
      </w:r>
    </w:p>
    <w:p w14:paraId="48A2AD3E">
      <w:pPr>
        <w:pStyle w:val="4"/>
        <w:kinsoku w:val="0"/>
        <w:overflowPunct w:val="0"/>
        <w:ind w:left="0" w:firstLine="602"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第十六条 合同纠纷调处</w:t>
      </w:r>
    </w:p>
    <w:p w14:paraId="47E504BB">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1</w:t>
      </w:r>
      <w:r>
        <w:rPr>
          <w:rFonts w:hint="eastAsia" w:ascii="宋体" w:hAnsi="宋体" w:eastAsia="宋体" w:cs="宋体"/>
          <w:color w:val="auto"/>
          <w:szCs w:val="27"/>
          <w:highlight w:val="none"/>
        </w:rPr>
        <w:t>.按本合同规定应该偿付的违约金、赔偿金、保管保养费和各种经济损失，应当在明确责任后10天内，按银行规定的结算办法付清，否则按逾期付款处理。</w:t>
      </w:r>
    </w:p>
    <w:p w14:paraId="163CFE66">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highlight w:val="none"/>
        </w:rPr>
        <w:t>2</w:t>
      </w:r>
      <w:r>
        <w:rPr>
          <w:rFonts w:hint="eastAsia" w:ascii="宋体" w:hAnsi="宋体" w:eastAsia="宋体" w:cs="宋体"/>
          <w:color w:val="auto"/>
          <w:szCs w:val="27"/>
          <w:highlight w:val="none"/>
        </w:rPr>
        <w:t>.本合同如发生纠纷，当事人双方应当及时协商解决，协商不成时，任何一方均可请本项目政府采购监督管理部门调解，调解不成，按以下第（ ）项方式处理：①根据《中华人民共和国仲裁法》的规定向</w:t>
      </w:r>
      <w:r>
        <w:rPr>
          <w:rFonts w:hint="eastAsia" w:ascii="宋体" w:hAnsi="宋体" w:eastAsia="宋体" w:cs="宋体"/>
          <w:b/>
          <w:bCs/>
          <w:color w:val="auto"/>
          <w:szCs w:val="27"/>
          <w:highlight w:val="none"/>
          <w:u w:val="single"/>
        </w:rPr>
        <w:t>周口仲裁委员会</w:t>
      </w:r>
      <w:r>
        <w:rPr>
          <w:rFonts w:hint="eastAsia" w:ascii="宋体" w:hAnsi="宋体" w:eastAsia="宋体" w:cs="宋体"/>
          <w:color w:val="auto"/>
          <w:szCs w:val="27"/>
          <w:highlight w:val="none"/>
        </w:rPr>
        <w:t>申请仲裁。②向</w:t>
      </w:r>
      <w:r>
        <w:rPr>
          <w:rFonts w:hint="eastAsia" w:ascii="宋体" w:hAnsi="宋体" w:eastAsia="宋体" w:cs="宋体"/>
          <w:color w:val="auto"/>
          <w:highlight w:val="none"/>
        </w:rPr>
        <w:t>合同签订地有级别管辖权的</w:t>
      </w:r>
      <w:r>
        <w:rPr>
          <w:rFonts w:hint="eastAsia" w:ascii="宋体" w:hAnsi="宋体" w:eastAsia="宋体" w:cs="宋体"/>
          <w:color w:val="auto"/>
          <w:szCs w:val="27"/>
          <w:highlight w:val="none"/>
        </w:rPr>
        <w:t>人民法院起诉。</w:t>
      </w:r>
    </w:p>
    <w:p w14:paraId="28A39509">
      <w:pPr>
        <w:pStyle w:val="4"/>
        <w:kinsoku w:val="0"/>
        <w:overflowPunct w:val="0"/>
        <w:ind w:left="0" w:firstLine="602" w:firstLineChars="200"/>
        <w:jc w:val="both"/>
        <w:rPr>
          <w:rFonts w:hint="eastAsia" w:ascii="宋体" w:hAnsi="宋体" w:eastAsia="宋体" w:cs="宋体"/>
          <w:color w:val="auto"/>
          <w:szCs w:val="27"/>
          <w:highlight w:val="none"/>
          <w:lang w:val="en-US"/>
        </w:rPr>
      </w:pPr>
      <w:r>
        <w:rPr>
          <w:rFonts w:hint="eastAsia" w:ascii="宋体" w:hAnsi="宋体" w:eastAsia="宋体" w:cs="宋体"/>
          <w:color w:val="auto"/>
          <w:szCs w:val="27"/>
          <w:highlight w:val="none"/>
          <w:lang w:val="en-US"/>
        </w:rPr>
        <w:t>3、</w:t>
      </w:r>
      <w:r>
        <w:rPr>
          <w:rFonts w:hint="eastAsia" w:ascii="宋体" w:hAnsi="宋体" w:eastAsia="宋体" w:cs="宋体"/>
          <w:b w:val="0"/>
          <w:bCs w:val="0"/>
          <w:color w:val="auto"/>
          <w:kern w:val="2"/>
          <w:sz w:val="21"/>
          <w:szCs w:val="27"/>
          <w:highlight w:val="none"/>
          <w:lang w:val="en-US" w:eastAsia="zh-CN" w:bidi="ar-SA"/>
        </w:rPr>
        <w:t>甲、乙双方均有权利向本项目具有监管职能的政府采购监督管理部门举报反映对方在合同履约中的违法违纪行为。</w:t>
      </w:r>
    </w:p>
    <w:p w14:paraId="66018683">
      <w:pPr>
        <w:spacing w:line="360" w:lineRule="auto"/>
        <w:ind w:firstLine="422" w:firstLineChars="200"/>
        <w:jc w:val="both"/>
        <w:rPr>
          <w:rFonts w:hint="eastAsia" w:ascii="宋体" w:hAnsi="宋体" w:eastAsia="宋体" w:cs="宋体"/>
          <w:b/>
          <w:bCs/>
          <w:color w:val="auto"/>
          <w:szCs w:val="27"/>
          <w:highlight w:val="none"/>
        </w:rPr>
      </w:pPr>
      <w:r>
        <w:rPr>
          <w:rFonts w:hint="eastAsia" w:ascii="宋体" w:hAnsi="宋体" w:eastAsia="宋体" w:cs="宋体"/>
          <w:b/>
          <w:bCs/>
          <w:color w:val="auto"/>
          <w:szCs w:val="27"/>
          <w:highlight w:val="none"/>
        </w:rPr>
        <w:t>第十七条 其他</w:t>
      </w:r>
    </w:p>
    <w:p w14:paraId="782411FA">
      <w:pPr>
        <w:spacing w:line="360" w:lineRule="auto"/>
        <w:ind w:firstLine="422" w:firstLineChars="200"/>
        <w:jc w:val="both"/>
        <w:rPr>
          <w:rFonts w:hint="eastAsia" w:ascii="宋体" w:hAnsi="宋体" w:eastAsia="宋体" w:cs="宋体"/>
          <w:color w:val="auto"/>
          <w:szCs w:val="27"/>
          <w:highlight w:val="none"/>
        </w:rPr>
      </w:pPr>
      <w:r>
        <w:rPr>
          <w:rFonts w:hint="eastAsia" w:ascii="宋体" w:hAnsi="宋体" w:eastAsia="宋体" w:cs="宋体"/>
          <w:b/>
          <w:bCs/>
          <w:color w:val="auto"/>
          <w:szCs w:val="27"/>
          <w:highlight w:val="none"/>
        </w:rPr>
        <w:t xml:space="preserve"> </w:t>
      </w:r>
      <w:r>
        <w:rPr>
          <w:rFonts w:hint="eastAsia" w:ascii="宋体" w:hAnsi="宋体" w:eastAsia="宋体" w:cs="宋体"/>
          <w:color w:val="auto"/>
          <w:szCs w:val="27"/>
          <w:highlight w:val="none"/>
        </w:rPr>
        <w:t>下列关于周口市公共资源交易中心政府采购代理机构名称</w:t>
      </w:r>
      <w:r>
        <w:rPr>
          <w:rFonts w:hint="eastAsia" w:ascii="宋体" w:hAnsi="宋体" w:eastAsia="宋体" w:cs="宋体"/>
          <w:color w:val="auto"/>
          <w:szCs w:val="27"/>
          <w:highlight w:val="none"/>
          <w:u w:val="single"/>
        </w:rPr>
        <w:t>某项目（项目编号：某编号）</w:t>
      </w:r>
      <w:r>
        <w:rPr>
          <w:rFonts w:hint="eastAsia" w:ascii="宋体" w:hAnsi="宋体" w:eastAsia="宋体" w:cs="宋体"/>
          <w:color w:val="auto"/>
          <w:szCs w:val="27"/>
          <w:highlight w:val="none"/>
        </w:rPr>
        <w:t>的采购文件及有关附件是本合同不可分割的组成部分，与本合同具有同等法律效力，这些文件包括但不限于：①招标文件；②乙方提供的投标文件；③服务承诺；④甲乙双方商定的其他文件。以上附件顺序在前的具有优先解释权。</w:t>
      </w:r>
    </w:p>
    <w:p w14:paraId="3BFBDE92">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    </w:t>
      </w:r>
      <w:r>
        <w:rPr>
          <w:rFonts w:hint="eastAsia" w:ascii="宋体" w:hAnsi="宋体" w:eastAsia="宋体" w:cs="宋体"/>
          <w:color w:val="auto"/>
          <w:highlight w:val="none"/>
        </w:rPr>
        <w:t>本合同一式</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份，甲乙双方各执</w:t>
      </w:r>
      <w:r>
        <w:rPr>
          <w:rFonts w:hint="eastAsia" w:ascii="宋体" w:hAnsi="宋体" w:eastAsia="宋体" w:cs="宋体"/>
          <w:color w:val="auto"/>
          <w:highlight w:val="none"/>
          <w:u w:val="single"/>
        </w:rPr>
        <w:t xml:space="preserve">   </w:t>
      </w:r>
      <w:r>
        <w:rPr>
          <w:rFonts w:hint="eastAsia" w:ascii="宋体" w:hAnsi="宋体" w:eastAsia="宋体" w:cs="宋体"/>
          <w:color w:val="auto"/>
          <w:highlight w:val="none"/>
        </w:rPr>
        <w:t>份，自双方当事人签字盖章之日起生效。</w:t>
      </w:r>
    </w:p>
    <w:p w14:paraId="1E8B048F">
      <w:pPr>
        <w:spacing w:line="360" w:lineRule="auto"/>
        <w:ind w:firstLine="420" w:firstLineChars="200"/>
        <w:jc w:val="both"/>
        <w:rPr>
          <w:rFonts w:hint="eastAsia" w:ascii="宋体" w:hAnsi="宋体" w:eastAsia="宋体" w:cs="宋体"/>
          <w:color w:val="auto"/>
          <w:szCs w:val="27"/>
          <w:highlight w:val="none"/>
        </w:rPr>
      </w:pPr>
    </w:p>
    <w:p w14:paraId="4A20D32B">
      <w:pPr>
        <w:pStyle w:val="26"/>
        <w:ind w:firstLine="240"/>
        <w:rPr>
          <w:rFonts w:hint="eastAsia" w:ascii="宋体" w:hAnsi="宋体" w:eastAsia="宋体" w:cs="宋体"/>
          <w:color w:val="auto"/>
          <w:highlight w:val="none"/>
        </w:rPr>
      </w:pPr>
    </w:p>
    <w:p w14:paraId="00E4B143">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 xml:space="preserve">采购人（甲方）：    （公章）           供货人（乙方）：     （公章）  </w:t>
      </w:r>
    </w:p>
    <w:p w14:paraId="5F4079CA">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地址：                               地址：</w:t>
      </w:r>
    </w:p>
    <w:p w14:paraId="5FC4741E">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法定代表人：                         法定代表人：</w:t>
      </w:r>
    </w:p>
    <w:p w14:paraId="241E4221">
      <w:pPr>
        <w:spacing w:line="360" w:lineRule="auto"/>
        <w:ind w:firstLine="420" w:firstLineChars="200"/>
        <w:jc w:val="both"/>
        <w:rPr>
          <w:rFonts w:hint="eastAsia" w:ascii="宋体" w:hAnsi="宋体" w:eastAsia="宋体" w:cs="宋体"/>
          <w:color w:val="auto"/>
          <w:highlight w:val="none"/>
          <w:u w:val="single"/>
        </w:rPr>
      </w:pPr>
      <w:r>
        <w:rPr>
          <w:rFonts w:hint="eastAsia" w:ascii="宋体" w:hAnsi="宋体" w:eastAsia="宋体" w:cs="宋体"/>
          <w:color w:val="auto"/>
          <w:szCs w:val="27"/>
          <w:highlight w:val="none"/>
        </w:rPr>
        <w:t>委托代理人：                         委托代理人：</w:t>
      </w:r>
    </w:p>
    <w:p w14:paraId="5ADF2D1C">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highlight w:val="none"/>
        </w:rPr>
        <w:t>电话：                               电话：</w:t>
      </w:r>
    </w:p>
    <w:p w14:paraId="7DA48A21">
      <w:pPr>
        <w:spacing w:line="360" w:lineRule="auto"/>
        <w:ind w:firstLine="420" w:firstLineChars="200"/>
        <w:jc w:val="both"/>
        <w:rPr>
          <w:rFonts w:hint="eastAsia" w:ascii="宋体" w:hAnsi="宋体" w:eastAsia="宋体" w:cs="宋体"/>
          <w:color w:val="auto"/>
          <w:szCs w:val="27"/>
          <w:highlight w:val="none"/>
        </w:rPr>
      </w:pPr>
      <w:r>
        <w:rPr>
          <w:rFonts w:hint="eastAsia" w:ascii="宋体" w:hAnsi="宋体" w:eastAsia="宋体" w:cs="宋体"/>
          <w:color w:val="auto"/>
          <w:szCs w:val="27"/>
          <w:highlight w:val="none"/>
        </w:rPr>
        <w:t>开户银行：                           开户银行：</w:t>
      </w:r>
    </w:p>
    <w:p w14:paraId="06C5EC38">
      <w:pPr>
        <w:spacing w:line="360" w:lineRule="auto"/>
        <w:ind w:firstLine="420" w:firstLineChars="200"/>
        <w:jc w:val="both"/>
        <w:rPr>
          <w:rFonts w:hint="eastAsia" w:ascii="宋体" w:hAnsi="宋体" w:eastAsia="宋体" w:cs="宋体"/>
          <w:color w:val="auto"/>
          <w:highlight w:val="none"/>
        </w:rPr>
      </w:pPr>
      <w:r>
        <w:rPr>
          <w:rFonts w:hint="eastAsia" w:ascii="宋体" w:hAnsi="宋体" w:eastAsia="宋体" w:cs="宋体"/>
          <w:color w:val="auto"/>
          <w:szCs w:val="27"/>
          <w:highlight w:val="none"/>
        </w:rPr>
        <w:t>账号：                               账号：</w:t>
      </w:r>
    </w:p>
    <w:p w14:paraId="65A62518">
      <w:pPr>
        <w:spacing w:line="640" w:lineRule="exact"/>
        <w:ind w:firstLine="420" w:firstLineChars="200"/>
        <w:jc w:val="both"/>
        <w:rPr>
          <w:rFonts w:hint="eastAsia" w:ascii="宋体" w:hAnsi="宋体" w:eastAsia="宋体" w:cs="宋体"/>
          <w:color w:val="auto"/>
          <w:szCs w:val="27"/>
          <w:highlight w:val="none"/>
          <w:u w:val="single"/>
        </w:rPr>
      </w:pPr>
    </w:p>
    <w:p w14:paraId="1F1287A7">
      <w:pPr>
        <w:spacing w:line="900" w:lineRule="exact"/>
        <w:jc w:val="center"/>
        <w:rPr>
          <w:rFonts w:hint="eastAsia" w:ascii="宋体" w:hAnsi="宋体" w:eastAsia="宋体" w:cs="宋体"/>
          <w:color w:val="auto"/>
          <w:szCs w:val="27"/>
          <w:highlight w:val="none"/>
        </w:rPr>
      </w:pPr>
      <w:r>
        <w:rPr>
          <w:rFonts w:hint="eastAsia" w:ascii="宋体" w:hAnsi="宋体" w:eastAsia="宋体" w:cs="宋体"/>
          <w:color w:val="auto"/>
          <w:szCs w:val="27"/>
          <w:highlight w:val="none"/>
          <w:u w:val="single"/>
        </w:rPr>
        <w:t>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 xml:space="preserve">日           </w:t>
      </w:r>
      <w:r>
        <w:rPr>
          <w:rFonts w:hint="eastAsia" w:ascii="宋体" w:hAnsi="宋体" w:eastAsia="宋体" w:cs="宋体"/>
          <w:color w:val="auto"/>
          <w:szCs w:val="27"/>
          <w:highlight w:val="none"/>
          <w:lang w:val="en-US"/>
        </w:rPr>
        <w:t xml:space="preserve">             </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年</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月</w:t>
      </w:r>
      <w:r>
        <w:rPr>
          <w:rFonts w:hint="eastAsia" w:ascii="宋体" w:hAnsi="宋体" w:eastAsia="宋体" w:cs="宋体"/>
          <w:color w:val="auto"/>
          <w:szCs w:val="27"/>
          <w:highlight w:val="none"/>
          <w:u w:val="single"/>
        </w:rPr>
        <w:t xml:space="preserve">  </w:t>
      </w:r>
      <w:r>
        <w:rPr>
          <w:rFonts w:hint="eastAsia" w:ascii="宋体" w:hAnsi="宋体" w:eastAsia="宋体" w:cs="宋体"/>
          <w:color w:val="auto"/>
          <w:szCs w:val="27"/>
          <w:highlight w:val="none"/>
        </w:rPr>
        <w:t xml:space="preserve">日     </w:t>
      </w:r>
    </w:p>
    <w:p w14:paraId="4918164D">
      <w:pPr>
        <w:pStyle w:val="26"/>
        <w:rPr>
          <w:rFonts w:hint="eastAsia" w:ascii="宋体" w:hAnsi="宋体" w:eastAsia="宋体" w:cs="宋体"/>
          <w:color w:val="auto"/>
          <w:szCs w:val="27"/>
          <w:highlight w:val="none"/>
        </w:rPr>
      </w:pPr>
    </w:p>
    <w:p w14:paraId="12F92EA5">
      <w:pPr>
        <w:pStyle w:val="26"/>
        <w:rPr>
          <w:rFonts w:hint="eastAsia" w:ascii="宋体" w:hAnsi="宋体" w:eastAsia="宋体" w:cs="宋体"/>
          <w:color w:val="auto"/>
          <w:szCs w:val="27"/>
          <w:highlight w:val="none"/>
        </w:rPr>
      </w:pPr>
    </w:p>
    <w:p w14:paraId="6C4C2A06">
      <w:pPr>
        <w:pStyle w:val="26"/>
        <w:rPr>
          <w:rFonts w:hint="eastAsia" w:ascii="宋体" w:hAnsi="宋体" w:eastAsia="宋体" w:cs="宋体"/>
          <w:color w:val="auto"/>
          <w:szCs w:val="27"/>
          <w:highlight w:val="none"/>
        </w:rPr>
      </w:pPr>
    </w:p>
    <w:p w14:paraId="7A2961C9">
      <w:pPr>
        <w:pStyle w:val="26"/>
        <w:rPr>
          <w:rFonts w:hint="eastAsia" w:ascii="宋体" w:hAnsi="宋体" w:eastAsia="宋体" w:cs="宋体"/>
          <w:color w:val="auto"/>
          <w:szCs w:val="27"/>
          <w:highlight w:val="none"/>
        </w:rPr>
      </w:pPr>
    </w:p>
    <w:p w14:paraId="00D1A692">
      <w:pPr>
        <w:pStyle w:val="26"/>
        <w:rPr>
          <w:rFonts w:hint="eastAsia" w:ascii="宋体" w:hAnsi="宋体" w:eastAsia="宋体" w:cs="宋体"/>
          <w:color w:val="auto"/>
          <w:szCs w:val="27"/>
          <w:highlight w:val="none"/>
        </w:rPr>
      </w:pPr>
    </w:p>
    <w:p w14:paraId="0A3A353C">
      <w:pPr>
        <w:pStyle w:val="26"/>
        <w:rPr>
          <w:rFonts w:hint="eastAsia" w:ascii="宋体" w:hAnsi="宋体" w:eastAsia="宋体" w:cs="宋体"/>
          <w:color w:val="auto"/>
          <w:szCs w:val="27"/>
          <w:highlight w:val="none"/>
        </w:rPr>
      </w:pPr>
    </w:p>
    <w:p w14:paraId="068AC79B">
      <w:pPr>
        <w:pStyle w:val="26"/>
        <w:rPr>
          <w:rFonts w:hint="eastAsia" w:ascii="宋体" w:hAnsi="宋体" w:eastAsia="宋体" w:cs="宋体"/>
          <w:color w:val="auto"/>
          <w:szCs w:val="27"/>
          <w:highlight w:val="none"/>
        </w:rPr>
      </w:pPr>
    </w:p>
    <w:p w14:paraId="2B1A34CB">
      <w:pPr>
        <w:pStyle w:val="26"/>
        <w:rPr>
          <w:rFonts w:hint="eastAsia" w:ascii="宋体" w:hAnsi="宋体" w:eastAsia="宋体" w:cs="宋体"/>
          <w:color w:val="auto"/>
          <w:szCs w:val="27"/>
          <w:highlight w:val="none"/>
        </w:rPr>
      </w:pPr>
    </w:p>
    <w:p w14:paraId="03BAB437">
      <w:pPr>
        <w:pStyle w:val="26"/>
        <w:rPr>
          <w:rFonts w:hint="eastAsia" w:ascii="宋体" w:hAnsi="宋体" w:eastAsia="宋体" w:cs="宋体"/>
          <w:color w:val="auto"/>
          <w:szCs w:val="27"/>
          <w:highlight w:val="none"/>
        </w:rPr>
      </w:pPr>
    </w:p>
    <w:p w14:paraId="0DF45F3D">
      <w:pPr>
        <w:pStyle w:val="26"/>
        <w:rPr>
          <w:rFonts w:hint="eastAsia" w:ascii="宋体" w:hAnsi="宋体" w:eastAsia="宋体" w:cs="宋体"/>
          <w:color w:val="auto"/>
          <w:szCs w:val="27"/>
          <w:highlight w:val="none"/>
        </w:rPr>
      </w:pPr>
    </w:p>
    <w:p w14:paraId="342F31A3">
      <w:pPr>
        <w:pStyle w:val="26"/>
        <w:rPr>
          <w:rFonts w:hint="eastAsia" w:ascii="宋体" w:hAnsi="宋体" w:eastAsia="宋体" w:cs="宋体"/>
          <w:color w:val="auto"/>
          <w:szCs w:val="27"/>
          <w:highlight w:val="none"/>
        </w:rPr>
      </w:pPr>
    </w:p>
    <w:p w14:paraId="2C0BC670">
      <w:pPr>
        <w:pStyle w:val="26"/>
        <w:rPr>
          <w:rFonts w:hint="eastAsia" w:ascii="宋体" w:hAnsi="宋体" w:eastAsia="宋体" w:cs="宋体"/>
          <w:color w:val="auto"/>
          <w:szCs w:val="27"/>
          <w:highlight w:val="none"/>
        </w:rPr>
      </w:pPr>
    </w:p>
    <w:p w14:paraId="01EBAF41">
      <w:pPr>
        <w:pStyle w:val="4"/>
        <w:bidi w:val="0"/>
        <w:rPr>
          <w:rFonts w:hint="eastAsia" w:ascii="宋体" w:hAnsi="宋体" w:eastAsia="宋体" w:cs="宋体"/>
          <w:color w:val="auto"/>
          <w:highlight w:val="none"/>
        </w:rPr>
      </w:pPr>
      <w:bookmarkStart w:id="133" w:name="_Toc30894"/>
      <w:r>
        <w:rPr>
          <w:rFonts w:hint="eastAsia" w:ascii="宋体" w:hAnsi="宋体" w:eastAsia="宋体" w:cs="宋体"/>
          <w:color w:val="auto"/>
          <w:highlight w:val="none"/>
        </w:rPr>
        <w:t>第七章 投标文件格式</w:t>
      </w:r>
      <w:bookmarkEnd w:id="132"/>
      <w:bookmarkEnd w:id="133"/>
    </w:p>
    <w:p w14:paraId="25BD3B60">
      <w:pPr>
        <w:spacing w:line="900" w:lineRule="exact"/>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rPr>
        <w:t>****项目</w:t>
      </w:r>
    </w:p>
    <w:p w14:paraId="3A118A61">
      <w:pPr>
        <w:pStyle w:val="17"/>
        <w:rPr>
          <w:rFonts w:hint="eastAsia" w:ascii="宋体" w:hAnsi="宋体" w:eastAsia="宋体" w:cs="宋体"/>
          <w:color w:val="auto"/>
          <w:highlight w:val="none"/>
        </w:rPr>
      </w:pPr>
    </w:p>
    <w:p w14:paraId="555C226C">
      <w:pPr>
        <w:spacing w:line="900" w:lineRule="exact"/>
        <w:jc w:val="center"/>
        <w:rPr>
          <w:rFonts w:hint="eastAsia" w:ascii="宋体" w:hAnsi="宋体" w:eastAsia="宋体" w:cs="宋体"/>
          <w:b/>
          <w:color w:val="auto"/>
          <w:sz w:val="72"/>
          <w:highlight w:val="none"/>
        </w:rPr>
      </w:pPr>
      <w:r>
        <w:rPr>
          <w:rFonts w:hint="eastAsia" w:ascii="宋体" w:hAnsi="宋体" w:eastAsia="宋体" w:cs="宋体"/>
          <w:b/>
          <w:color w:val="auto"/>
          <w:sz w:val="72"/>
          <w:highlight w:val="none"/>
        </w:rPr>
        <w:t>投</w:t>
      </w:r>
    </w:p>
    <w:p w14:paraId="6477F82F">
      <w:pPr>
        <w:spacing w:line="900" w:lineRule="exact"/>
        <w:jc w:val="center"/>
        <w:rPr>
          <w:rFonts w:hint="eastAsia" w:ascii="宋体" w:hAnsi="宋体" w:eastAsia="宋体" w:cs="宋体"/>
          <w:b/>
          <w:color w:val="auto"/>
          <w:sz w:val="72"/>
          <w:highlight w:val="none"/>
        </w:rPr>
      </w:pPr>
    </w:p>
    <w:p w14:paraId="192FBE75">
      <w:pPr>
        <w:spacing w:line="900" w:lineRule="exact"/>
        <w:jc w:val="center"/>
        <w:rPr>
          <w:rFonts w:hint="eastAsia" w:ascii="宋体" w:hAnsi="宋体" w:eastAsia="宋体" w:cs="宋体"/>
          <w:b/>
          <w:color w:val="auto"/>
          <w:sz w:val="72"/>
          <w:highlight w:val="none"/>
        </w:rPr>
      </w:pPr>
      <w:r>
        <w:rPr>
          <w:rFonts w:hint="eastAsia" w:ascii="宋体" w:hAnsi="宋体" w:eastAsia="宋体" w:cs="宋体"/>
          <w:b/>
          <w:color w:val="auto"/>
          <w:sz w:val="72"/>
          <w:highlight w:val="none"/>
        </w:rPr>
        <w:t>标</w:t>
      </w:r>
    </w:p>
    <w:p w14:paraId="247DC591">
      <w:pPr>
        <w:spacing w:line="900" w:lineRule="exact"/>
        <w:jc w:val="center"/>
        <w:rPr>
          <w:rFonts w:hint="eastAsia" w:ascii="宋体" w:hAnsi="宋体" w:eastAsia="宋体" w:cs="宋体"/>
          <w:b/>
          <w:color w:val="auto"/>
          <w:sz w:val="72"/>
          <w:highlight w:val="none"/>
        </w:rPr>
      </w:pPr>
    </w:p>
    <w:p w14:paraId="4F7541F1">
      <w:pPr>
        <w:spacing w:line="900" w:lineRule="exact"/>
        <w:jc w:val="center"/>
        <w:rPr>
          <w:rFonts w:hint="eastAsia" w:ascii="宋体" w:hAnsi="宋体" w:eastAsia="宋体" w:cs="宋体"/>
          <w:b/>
          <w:color w:val="auto"/>
          <w:sz w:val="72"/>
          <w:highlight w:val="none"/>
        </w:rPr>
      </w:pPr>
      <w:r>
        <w:rPr>
          <w:rFonts w:hint="eastAsia" w:ascii="宋体" w:hAnsi="宋体" w:eastAsia="宋体" w:cs="宋体"/>
          <w:b/>
          <w:color w:val="auto"/>
          <w:sz w:val="72"/>
          <w:highlight w:val="none"/>
        </w:rPr>
        <w:t>文</w:t>
      </w:r>
    </w:p>
    <w:p w14:paraId="5542DB9A">
      <w:pPr>
        <w:spacing w:line="900" w:lineRule="exact"/>
        <w:jc w:val="center"/>
        <w:rPr>
          <w:rFonts w:hint="eastAsia" w:ascii="宋体" w:hAnsi="宋体" w:eastAsia="宋体" w:cs="宋体"/>
          <w:b/>
          <w:color w:val="auto"/>
          <w:sz w:val="72"/>
          <w:highlight w:val="none"/>
        </w:rPr>
      </w:pPr>
    </w:p>
    <w:p w14:paraId="4E63CC4A">
      <w:pPr>
        <w:jc w:val="center"/>
        <w:rPr>
          <w:rFonts w:hint="eastAsia" w:ascii="宋体" w:hAnsi="宋体" w:eastAsia="宋体" w:cs="宋体"/>
          <w:b/>
          <w:color w:val="auto"/>
          <w:sz w:val="72"/>
          <w:highlight w:val="none"/>
        </w:rPr>
      </w:pPr>
      <w:r>
        <w:rPr>
          <w:rFonts w:hint="eastAsia" w:ascii="宋体" w:hAnsi="宋体" w:eastAsia="宋体" w:cs="宋体"/>
          <w:b/>
          <w:color w:val="auto"/>
          <w:sz w:val="72"/>
          <w:highlight w:val="none"/>
        </w:rPr>
        <w:t>件</w:t>
      </w:r>
    </w:p>
    <w:p w14:paraId="1D0E788B">
      <w:pPr>
        <w:spacing w:after="120" w:afterLines="50" w:line="500" w:lineRule="exact"/>
        <w:rPr>
          <w:rFonts w:hint="eastAsia" w:ascii="宋体" w:hAnsi="宋体" w:eastAsia="宋体" w:cs="宋体"/>
          <w:b/>
          <w:color w:val="auto"/>
          <w:sz w:val="32"/>
          <w:highlight w:val="none"/>
          <w:u w:val="single"/>
        </w:rPr>
      </w:pPr>
      <w:r>
        <w:rPr>
          <w:rFonts w:hint="eastAsia" w:ascii="宋体" w:hAnsi="宋体" w:eastAsia="宋体" w:cs="宋体"/>
          <w:b/>
          <w:color w:val="auto"/>
          <w:sz w:val="30"/>
          <w:highlight w:val="none"/>
        </w:rPr>
        <w:t xml:space="preserve">                 </w:t>
      </w:r>
      <w:r>
        <w:rPr>
          <w:rFonts w:hint="eastAsia" w:ascii="宋体" w:hAnsi="宋体" w:eastAsia="宋体" w:cs="宋体"/>
          <w:b/>
          <w:color w:val="auto"/>
          <w:sz w:val="32"/>
          <w:highlight w:val="none"/>
        </w:rPr>
        <w:t>投标人：</w:t>
      </w:r>
      <w:r>
        <w:rPr>
          <w:rFonts w:hint="eastAsia" w:ascii="宋体" w:hAnsi="宋体" w:eastAsia="宋体" w:cs="宋体"/>
          <w:b/>
          <w:color w:val="auto"/>
          <w:sz w:val="32"/>
          <w:highlight w:val="none"/>
          <w:u w:val="single"/>
        </w:rPr>
        <w:t xml:space="preserve">               </w:t>
      </w:r>
    </w:p>
    <w:p w14:paraId="263B763F">
      <w:pPr>
        <w:spacing w:after="120" w:afterLines="50" w:line="500" w:lineRule="exact"/>
        <w:jc w:val="center"/>
        <w:rPr>
          <w:rFonts w:hint="eastAsia" w:ascii="宋体" w:hAnsi="宋体" w:eastAsia="宋体" w:cs="宋体"/>
          <w:color w:val="auto"/>
          <w:highlight w:val="none"/>
        </w:rPr>
      </w:pPr>
      <w:r>
        <w:rPr>
          <w:rFonts w:hint="eastAsia" w:ascii="宋体" w:hAnsi="宋体" w:eastAsia="宋体" w:cs="宋体"/>
          <w:b/>
          <w:color w:val="auto"/>
          <w:sz w:val="32"/>
          <w:highlight w:val="none"/>
          <w:u w:val="single"/>
        </w:rPr>
        <w:t xml:space="preserve"> </w:t>
      </w:r>
      <w:bookmarkStart w:id="134" w:name="_Toc5567_WPSOffice_Level2"/>
      <w:r>
        <w:rPr>
          <w:rFonts w:hint="eastAsia" w:ascii="宋体" w:hAnsi="宋体" w:eastAsia="宋体" w:cs="宋体"/>
          <w:b/>
          <w:color w:val="auto"/>
          <w:sz w:val="32"/>
          <w:highlight w:val="none"/>
        </w:rPr>
        <w:t>年</w:t>
      </w:r>
      <w:r>
        <w:rPr>
          <w:rFonts w:hint="eastAsia" w:ascii="宋体" w:hAnsi="宋体" w:eastAsia="宋体" w:cs="宋体"/>
          <w:b/>
          <w:color w:val="auto"/>
          <w:sz w:val="32"/>
          <w:highlight w:val="none"/>
          <w:u w:val="single"/>
        </w:rPr>
        <w:t xml:space="preserve"> </w:t>
      </w:r>
      <w:r>
        <w:rPr>
          <w:rFonts w:hint="eastAsia" w:ascii="宋体" w:hAnsi="宋体" w:eastAsia="宋体" w:cs="宋体"/>
          <w:b/>
          <w:color w:val="auto"/>
          <w:sz w:val="32"/>
          <w:highlight w:val="none"/>
        </w:rPr>
        <w:t>月</w:t>
      </w:r>
      <w:r>
        <w:rPr>
          <w:rFonts w:hint="eastAsia" w:ascii="宋体" w:hAnsi="宋体" w:eastAsia="宋体" w:cs="宋体"/>
          <w:b/>
          <w:color w:val="auto"/>
          <w:sz w:val="32"/>
          <w:highlight w:val="none"/>
          <w:u w:val="single"/>
        </w:rPr>
        <w:t xml:space="preserve"> </w:t>
      </w:r>
      <w:r>
        <w:rPr>
          <w:rFonts w:hint="eastAsia" w:ascii="宋体" w:hAnsi="宋体" w:eastAsia="宋体" w:cs="宋体"/>
          <w:b/>
          <w:color w:val="auto"/>
          <w:sz w:val="32"/>
          <w:highlight w:val="none"/>
        </w:rPr>
        <w:t>日</w:t>
      </w:r>
      <w:bookmarkEnd w:id="134"/>
      <w:bookmarkStart w:id="135" w:name="_Hlt519045470"/>
      <w:bookmarkEnd w:id="135"/>
      <w:bookmarkStart w:id="136" w:name="_Hlt50174708"/>
      <w:bookmarkEnd w:id="136"/>
      <w:bookmarkStart w:id="137" w:name="_Hlt50174972"/>
      <w:bookmarkEnd w:id="137"/>
      <w:bookmarkStart w:id="138" w:name="_Hlt50174722"/>
      <w:bookmarkEnd w:id="138"/>
      <w:bookmarkStart w:id="139" w:name="_Hlt519068595"/>
      <w:bookmarkEnd w:id="139"/>
      <w:bookmarkStart w:id="140" w:name="_Hlt533408877"/>
      <w:bookmarkEnd w:id="140"/>
      <w:bookmarkStart w:id="141" w:name="_Hlt509738509"/>
      <w:bookmarkStart w:id="142" w:name="_Hlt519045391"/>
      <w:bookmarkStart w:id="143" w:name="_Hlt509738521"/>
    </w:p>
    <w:p w14:paraId="50BDF4B8">
      <w:pPr>
        <w:pStyle w:val="17"/>
        <w:rPr>
          <w:rFonts w:hint="eastAsia" w:ascii="宋体" w:hAnsi="宋体" w:eastAsia="宋体" w:cs="宋体"/>
          <w:color w:val="auto"/>
          <w:highlight w:val="none"/>
        </w:rPr>
      </w:pPr>
    </w:p>
    <w:p w14:paraId="3F586CA7">
      <w:pPr>
        <w:pStyle w:val="17"/>
        <w:rPr>
          <w:rFonts w:hint="eastAsia" w:ascii="宋体" w:hAnsi="宋体" w:eastAsia="宋体" w:cs="宋体"/>
          <w:color w:val="auto"/>
          <w:highlight w:val="none"/>
        </w:rPr>
      </w:pPr>
    </w:p>
    <w:p w14:paraId="7915AB95">
      <w:pPr>
        <w:pStyle w:val="17"/>
        <w:rPr>
          <w:rFonts w:hint="eastAsia" w:ascii="宋体" w:hAnsi="宋体" w:eastAsia="宋体" w:cs="宋体"/>
          <w:color w:val="auto"/>
          <w:highlight w:val="none"/>
        </w:rPr>
      </w:pPr>
    </w:p>
    <w:p w14:paraId="3D78DAB2">
      <w:pPr>
        <w:pStyle w:val="17"/>
        <w:rPr>
          <w:rFonts w:hint="eastAsia" w:ascii="宋体" w:hAnsi="宋体" w:eastAsia="宋体" w:cs="宋体"/>
          <w:color w:val="auto"/>
          <w:highlight w:val="none"/>
        </w:rPr>
      </w:pPr>
    </w:p>
    <w:p w14:paraId="6AD5367C">
      <w:pPr>
        <w:pStyle w:val="17"/>
        <w:rPr>
          <w:rFonts w:hint="eastAsia" w:ascii="宋体" w:hAnsi="宋体" w:eastAsia="宋体" w:cs="宋体"/>
          <w:color w:val="auto"/>
          <w:highlight w:val="none"/>
        </w:rPr>
      </w:pPr>
    </w:p>
    <w:p w14:paraId="3573B2E6">
      <w:pPr>
        <w:pStyle w:val="17"/>
        <w:rPr>
          <w:rFonts w:hint="eastAsia" w:ascii="宋体" w:hAnsi="宋体" w:eastAsia="宋体" w:cs="宋体"/>
          <w:color w:val="auto"/>
          <w:highlight w:val="none"/>
        </w:rPr>
      </w:pPr>
    </w:p>
    <w:p w14:paraId="41597CF0">
      <w:pPr>
        <w:pStyle w:val="17"/>
        <w:rPr>
          <w:rFonts w:hint="eastAsia" w:ascii="宋体" w:hAnsi="宋体" w:eastAsia="宋体" w:cs="宋体"/>
          <w:color w:val="auto"/>
          <w:highlight w:val="none"/>
        </w:rPr>
      </w:pPr>
    </w:p>
    <w:p w14:paraId="408F34DD">
      <w:pPr>
        <w:pStyle w:val="17"/>
        <w:rPr>
          <w:rFonts w:hint="eastAsia" w:ascii="宋体" w:hAnsi="宋体" w:eastAsia="宋体" w:cs="宋体"/>
          <w:color w:val="auto"/>
          <w:highlight w:val="none"/>
        </w:rPr>
      </w:pPr>
    </w:p>
    <w:p w14:paraId="6EAC9FD0">
      <w:pPr>
        <w:pStyle w:val="17"/>
        <w:rPr>
          <w:rFonts w:hint="eastAsia" w:ascii="宋体" w:hAnsi="宋体" w:eastAsia="宋体" w:cs="宋体"/>
          <w:color w:val="auto"/>
          <w:highlight w:val="none"/>
        </w:rPr>
      </w:pPr>
    </w:p>
    <w:p w14:paraId="6CE4F17C">
      <w:pPr>
        <w:pStyle w:val="20"/>
        <w:rPr>
          <w:rFonts w:hint="eastAsia" w:ascii="宋体" w:hAnsi="宋体" w:eastAsia="宋体" w:cs="宋体"/>
          <w:color w:val="auto"/>
          <w:highlight w:val="none"/>
        </w:rPr>
      </w:pPr>
      <w:bookmarkStart w:id="144" w:name="_Toc20284_WPSOffice_Level2"/>
      <w:r>
        <w:rPr>
          <w:rFonts w:hint="eastAsia" w:ascii="宋体" w:hAnsi="宋体" w:eastAsia="宋体" w:cs="宋体"/>
          <w:color w:val="auto"/>
          <w:highlight w:val="none"/>
        </w:rPr>
        <w:br w:type="page"/>
      </w:r>
      <w:r>
        <w:rPr>
          <w:rFonts w:hint="eastAsia" w:ascii="宋体" w:hAnsi="宋体" w:eastAsia="宋体" w:cs="宋体"/>
          <w:color w:val="auto"/>
          <w:highlight w:val="none"/>
        </w:rPr>
        <w:t>投标文件资料清单</w:t>
      </w:r>
      <w:bookmarkEnd w:id="144"/>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0"/>
        <w:gridCol w:w="5460"/>
        <w:gridCol w:w="1854"/>
      </w:tblGrid>
      <w:tr w14:paraId="32CA6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2AC35675">
            <w:pPr>
              <w:spacing w:line="40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序号</w:t>
            </w:r>
          </w:p>
        </w:tc>
        <w:tc>
          <w:tcPr>
            <w:tcW w:w="5460" w:type="dxa"/>
            <w:noWrap w:val="0"/>
            <w:vAlign w:val="center"/>
          </w:tcPr>
          <w:p w14:paraId="5B2EF02F">
            <w:pPr>
              <w:spacing w:line="40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资料名称</w:t>
            </w:r>
          </w:p>
        </w:tc>
        <w:tc>
          <w:tcPr>
            <w:tcW w:w="1854" w:type="dxa"/>
            <w:noWrap w:val="0"/>
            <w:vAlign w:val="center"/>
          </w:tcPr>
          <w:p w14:paraId="4C678E60">
            <w:pPr>
              <w:spacing w:line="40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页码范围</w:t>
            </w:r>
          </w:p>
        </w:tc>
      </w:tr>
      <w:tr w14:paraId="41BAAC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10666858">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一</w:t>
            </w:r>
          </w:p>
        </w:tc>
        <w:tc>
          <w:tcPr>
            <w:tcW w:w="5460" w:type="dxa"/>
            <w:noWrap w:val="0"/>
            <w:vAlign w:val="center"/>
          </w:tcPr>
          <w:p w14:paraId="26CBC6F6">
            <w:pPr>
              <w:rPr>
                <w:rFonts w:hint="eastAsia" w:ascii="宋体" w:hAnsi="宋体" w:eastAsia="宋体" w:cs="宋体"/>
                <w:color w:val="auto"/>
                <w:highlight w:val="none"/>
                <w:u w:val="single"/>
              </w:rPr>
            </w:pPr>
            <w:r>
              <w:rPr>
                <w:rFonts w:hint="eastAsia" w:ascii="宋体" w:hAnsi="宋体" w:eastAsia="宋体" w:cs="宋体"/>
                <w:bCs/>
                <w:color w:val="auto"/>
                <w:sz w:val="24"/>
                <w:highlight w:val="none"/>
              </w:rPr>
              <w:t>开标一览表</w:t>
            </w:r>
          </w:p>
        </w:tc>
        <w:tc>
          <w:tcPr>
            <w:tcW w:w="1854" w:type="dxa"/>
            <w:noWrap w:val="0"/>
            <w:vAlign w:val="center"/>
          </w:tcPr>
          <w:p w14:paraId="64F379AC">
            <w:pPr>
              <w:spacing w:line="360" w:lineRule="auto"/>
              <w:jc w:val="center"/>
              <w:rPr>
                <w:rFonts w:hint="eastAsia" w:ascii="宋体" w:hAnsi="宋体" w:eastAsia="宋体" w:cs="宋体"/>
                <w:b/>
                <w:color w:val="auto"/>
                <w:sz w:val="24"/>
                <w:highlight w:val="none"/>
              </w:rPr>
            </w:pPr>
          </w:p>
        </w:tc>
      </w:tr>
      <w:tr w14:paraId="37F70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4F0C0545">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二</w:t>
            </w:r>
          </w:p>
        </w:tc>
        <w:tc>
          <w:tcPr>
            <w:tcW w:w="5460" w:type="dxa"/>
            <w:noWrap w:val="0"/>
            <w:vAlign w:val="center"/>
          </w:tcPr>
          <w:p w14:paraId="5693E8F8">
            <w:pPr>
              <w:rPr>
                <w:rFonts w:hint="eastAsia" w:ascii="宋体" w:hAnsi="宋体" w:eastAsia="宋体" w:cs="宋体"/>
                <w:bCs/>
                <w:color w:val="auto"/>
                <w:sz w:val="24"/>
                <w:highlight w:val="none"/>
              </w:rPr>
            </w:pPr>
            <w:r>
              <w:rPr>
                <w:rFonts w:hint="eastAsia" w:ascii="宋体" w:hAnsi="宋体" w:eastAsia="宋体" w:cs="宋体"/>
                <w:color w:val="auto"/>
                <w:sz w:val="24"/>
                <w:highlight w:val="none"/>
              </w:rPr>
              <w:t>投标人情况综合简介</w:t>
            </w:r>
          </w:p>
        </w:tc>
        <w:tc>
          <w:tcPr>
            <w:tcW w:w="1854" w:type="dxa"/>
            <w:noWrap w:val="0"/>
            <w:vAlign w:val="center"/>
          </w:tcPr>
          <w:p w14:paraId="52616A09">
            <w:pPr>
              <w:spacing w:line="360" w:lineRule="auto"/>
              <w:jc w:val="center"/>
              <w:rPr>
                <w:rFonts w:hint="eastAsia" w:ascii="宋体" w:hAnsi="宋体" w:eastAsia="宋体" w:cs="宋体"/>
                <w:b/>
                <w:color w:val="auto"/>
                <w:sz w:val="24"/>
                <w:highlight w:val="none"/>
              </w:rPr>
            </w:pPr>
          </w:p>
        </w:tc>
      </w:tr>
      <w:tr w14:paraId="440D03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2EF72664">
            <w:pPr>
              <w:jc w:val="cente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三</w:t>
            </w:r>
          </w:p>
        </w:tc>
        <w:tc>
          <w:tcPr>
            <w:tcW w:w="5460" w:type="dxa"/>
            <w:noWrap w:val="0"/>
            <w:vAlign w:val="center"/>
          </w:tcPr>
          <w:p w14:paraId="41AF6F52">
            <w:pPr>
              <w:rPr>
                <w:rFonts w:hint="eastAsia" w:ascii="宋体" w:hAnsi="宋体" w:eastAsia="宋体" w:cs="宋体"/>
                <w:bCs/>
                <w:color w:val="auto"/>
                <w:sz w:val="24"/>
                <w:highlight w:val="none"/>
              </w:rPr>
            </w:pPr>
            <w:r>
              <w:rPr>
                <w:rFonts w:hint="eastAsia" w:ascii="宋体" w:hAnsi="宋体" w:eastAsia="宋体" w:cs="宋体"/>
                <w:bCs/>
                <w:color w:val="auto"/>
                <w:sz w:val="24"/>
                <w:highlight w:val="none"/>
              </w:rPr>
              <w:t>投标函</w:t>
            </w:r>
          </w:p>
        </w:tc>
        <w:tc>
          <w:tcPr>
            <w:tcW w:w="1854" w:type="dxa"/>
            <w:noWrap w:val="0"/>
            <w:vAlign w:val="center"/>
          </w:tcPr>
          <w:p w14:paraId="5335FAA6">
            <w:pPr>
              <w:spacing w:line="360" w:lineRule="auto"/>
              <w:jc w:val="center"/>
              <w:rPr>
                <w:rFonts w:hint="eastAsia" w:ascii="宋体" w:hAnsi="宋体" w:eastAsia="宋体" w:cs="宋体"/>
                <w:b/>
                <w:color w:val="auto"/>
                <w:sz w:val="24"/>
                <w:highlight w:val="none"/>
              </w:rPr>
            </w:pPr>
          </w:p>
        </w:tc>
      </w:tr>
      <w:tr w14:paraId="7B1DD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2ED690A4">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四</w:t>
            </w:r>
          </w:p>
        </w:tc>
        <w:tc>
          <w:tcPr>
            <w:tcW w:w="5460" w:type="dxa"/>
            <w:noWrap w:val="0"/>
            <w:vAlign w:val="center"/>
          </w:tcPr>
          <w:p w14:paraId="4248711B">
            <w:pPr>
              <w:pStyle w:val="32"/>
              <w:rPr>
                <w:rFonts w:hint="eastAsia" w:ascii="宋体" w:hAnsi="宋体" w:eastAsia="宋体" w:cs="宋体"/>
                <w:bCs/>
                <w:color w:val="auto"/>
                <w:highlight w:val="none"/>
              </w:rPr>
            </w:pPr>
            <w:r>
              <w:rPr>
                <w:rFonts w:hint="eastAsia" w:ascii="宋体" w:hAnsi="宋体" w:eastAsia="宋体" w:cs="宋体"/>
                <w:bCs/>
                <w:color w:val="auto"/>
                <w:highlight w:val="none"/>
              </w:rPr>
              <w:t>投标分项报价表</w:t>
            </w:r>
          </w:p>
        </w:tc>
        <w:tc>
          <w:tcPr>
            <w:tcW w:w="1854" w:type="dxa"/>
            <w:noWrap w:val="0"/>
            <w:vAlign w:val="center"/>
          </w:tcPr>
          <w:p w14:paraId="15235E11">
            <w:pPr>
              <w:spacing w:line="360" w:lineRule="auto"/>
              <w:jc w:val="center"/>
              <w:rPr>
                <w:rFonts w:hint="eastAsia" w:ascii="宋体" w:hAnsi="宋体" w:eastAsia="宋体" w:cs="宋体"/>
                <w:b/>
                <w:color w:val="auto"/>
                <w:sz w:val="24"/>
                <w:highlight w:val="none"/>
              </w:rPr>
            </w:pPr>
          </w:p>
        </w:tc>
      </w:tr>
      <w:tr w14:paraId="77F4B3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1050" w:type="dxa"/>
            <w:noWrap w:val="0"/>
            <w:vAlign w:val="center"/>
          </w:tcPr>
          <w:p w14:paraId="331FEABD">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五</w:t>
            </w:r>
          </w:p>
        </w:tc>
        <w:tc>
          <w:tcPr>
            <w:tcW w:w="5460" w:type="dxa"/>
            <w:noWrap w:val="0"/>
            <w:vAlign w:val="center"/>
          </w:tcPr>
          <w:p w14:paraId="06106112">
            <w:pPr>
              <w:rPr>
                <w:rFonts w:hint="eastAsia" w:ascii="宋体" w:hAnsi="宋体" w:eastAsia="宋体" w:cs="宋体"/>
                <w:bCs/>
                <w:color w:val="auto"/>
                <w:sz w:val="24"/>
                <w:highlight w:val="none"/>
              </w:rPr>
            </w:pPr>
            <w:r>
              <w:rPr>
                <w:rFonts w:hint="eastAsia" w:ascii="宋体" w:hAnsi="宋体" w:eastAsia="宋体" w:cs="宋体"/>
                <w:color w:val="auto"/>
                <w:sz w:val="24"/>
                <w:highlight w:val="none"/>
              </w:rPr>
              <w:t>投标响应表</w:t>
            </w:r>
          </w:p>
        </w:tc>
        <w:tc>
          <w:tcPr>
            <w:tcW w:w="1854" w:type="dxa"/>
            <w:noWrap w:val="0"/>
            <w:vAlign w:val="center"/>
          </w:tcPr>
          <w:p w14:paraId="2C9E6CD8">
            <w:pPr>
              <w:spacing w:line="360" w:lineRule="auto"/>
              <w:jc w:val="center"/>
              <w:rPr>
                <w:rFonts w:hint="eastAsia" w:ascii="宋体" w:hAnsi="宋体" w:eastAsia="宋体" w:cs="宋体"/>
                <w:b/>
                <w:color w:val="auto"/>
                <w:sz w:val="24"/>
                <w:highlight w:val="none"/>
              </w:rPr>
            </w:pPr>
          </w:p>
        </w:tc>
      </w:tr>
      <w:tr w14:paraId="19A21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9" w:hRule="atLeast"/>
        </w:trPr>
        <w:tc>
          <w:tcPr>
            <w:tcW w:w="1050" w:type="dxa"/>
            <w:noWrap w:val="0"/>
            <w:vAlign w:val="center"/>
          </w:tcPr>
          <w:p w14:paraId="3F9EBE0D">
            <w:pPr>
              <w:jc w:val="center"/>
              <w:rPr>
                <w:rFonts w:hint="eastAsia" w:ascii="宋体" w:hAnsi="宋体" w:eastAsia="宋体" w:cs="宋体"/>
                <w:color w:val="auto"/>
                <w:sz w:val="24"/>
                <w:highlight w:val="none"/>
                <w:lang w:eastAsia="zh-CN"/>
              </w:rPr>
            </w:pPr>
            <w:r>
              <w:rPr>
                <w:rFonts w:hint="eastAsia" w:ascii="宋体" w:hAnsi="宋体" w:cs="宋体"/>
                <w:color w:val="auto"/>
                <w:sz w:val="24"/>
                <w:highlight w:val="none"/>
                <w:lang w:val="en-US" w:eastAsia="zh-CN"/>
              </w:rPr>
              <w:t>六</w:t>
            </w:r>
          </w:p>
        </w:tc>
        <w:tc>
          <w:tcPr>
            <w:tcW w:w="5460" w:type="dxa"/>
            <w:noWrap w:val="0"/>
            <w:vAlign w:val="center"/>
          </w:tcPr>
          <w:p w14:paraId="2EDD61A8">
            <w:pPr>
              <w:rPr>
                <w:rFonts w:hint="eastAsia" w:ascii="宋体" w:hAnsi="宋体" w:eastAsia="宋体" w:cs="宋体"/>
                <w:color w:val="auto"/>
                <w:sz w:val="24"/>
                <w:highlight w:val="none"/>
              </w:rPr>
            </w:pPr>
            <w:r>
              <w:rPr>
                <w:rFonts w:hint="eastAsia" w:ascii="宋体" w:hAnsi="宋体" w:eastAsia="宋体" w:cs="宋体"/>
                <w:color w:val="auto"/>
                <w:sz w:val="24"/>
                <w:highlight w:val="none"/>
              </w:rPr>
              <w:t>服务质量承诺</w:t>
            </w:r>
          </w:p>
        </w:tc>
        <w:tc>
          <w:tcPr>
            <w:tcW w:w="1854" w:type="dxa"/>
            <w:noWrap w:val="0"/>
            <w:vAlign w:val="center"/>
          </w:tcPr>
          <w:p w14:paraId="32CFEB8D">
            <w:pPr>
              <w:spacing w:line="360" w:lineRule="auto"/>
              <w:rPr>
                <w:rFonts w:hint="eastAsia" w:ascii="宋体" w:hAnsi="宋体" w:eastAsia="宋体" w:cs="宋体"/>
                <w:b/>
                <w:color w:val="auto"/>
                <w:sz w:val="24"/>
                <w:highlight w:val="none"/>
              </w:rPr>
            </w:pPr>
          </w:p>
        </w:tc>
      </w:tr>
      <w:tr w14:paraId="11FFCF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1050" w:type="dxa"/>
            <w:noWrap w:val="0"/>
            <w:vAlign w:val="center"/>
          </w:tcPr>
          <w:p w14:paraId="307307F3">
            <w:pPr>
              <w:jc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七</w:t>
            </w:r>
          </w:p>
        </w:tc>
        <w:tc>
          <w:tcPr>
            <w:tcW w:w="5460" w:type="dxa"/>
            <w:noWrap w:val="0"/>
            <w:vAlign w:val="center"/>
          </w:tcPr>
          <w:p w14:paraId="018B25CC">
            <w:pPr>
              <w:rPr>
                <w:rFonts w:hint="eastAsia" w:ascii="宋体" w:hAnsi="宋体" w:eastAsia="宋体" w:cs="宋体"/>
                <w:color w:val="auto"/>
                <w:sz w:val="24"/>
                <w:highlight w:val="none"/>
              </w:rPr>
            </w:pPr>
            <w:r>
              <w:rPr>
                <w:rFonts w:hint="eastAsia" w:ascii="宋体" w:hAnsi="宋体" w:eastAsia="宋体" w:cs="宋体"/>
                <w:color w:val="auto"/>
                <w:sz w:val="24"/>
                <w:highlight w:val="none"/>
              </w:rPr>
              <w:t>有关证明文件</w:t>
            </w:r>
          </w:p>
        </w:tc>
        <w:tc>
          <w:tcPr>
            <w:tcW w:w="1854" w:type="dxa"/>
            <w:noWrap w:val="0"/>
            <w:vAlign w:val="center"/>
          </w:tcPr>
          <w:p w14:paraId="6DD5F10C">
            <w:pPr>
              <w:spacing w:line="360" w:lineRule="auto"/>
              <w:rPr>
                <w:rFonts w:hint="eastAsia" w:ascii="宋体" w:hAnsi="宋体" w:eastAsia="宋体" w:cs="宋体"/>
                <w:b/>
                <w:color w:val="auto"/>
                <w:sz w:val="24"/>
                <w:highlight w:val="none"/>
              </w:rPr>
            </w:pPr>
          </w:p>
        </w:tc>
      </w:tr>
      <w:tr w14:paraId="3C999A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1050" w:type="dxa"/>
            <w:noWrap w:val="0"/>
            <w:vAlign w:val="center"/>
          </w:tcPr>
          <w:p w14:paraId="19B2052E">
            <w:pPr>
              <w:ind w:firstLine="240" w:firstLineChars="100"/>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八</w:t>
            </w:r>
          </w:p>
        </w:tc>
        <w:tc>
          <w:tcPr>
            <w:tcW w:w="5460" w:type="dxa"/>
            <w:noWrap w:val="0"/>
            <w:vAlign w:val="center"/>
          </w:tcPr>
          <w:p w14:paraId="6618CD72">
            <w:pPr>
              <w:rPr>
                <w:rFonts w:hint="eastAsia" w:ascii="宋体" w:hAnsi="宋体" w:eastAsia="宋体" w:cs="宋体"/>
                <w:color w:val="auto"/>
                <w:sz w:val="24"/>
                <w:highlight w:val="none"/>
              </w:rPr>
            </w:pPr>
            <w:r>
              <w:rPr>
                <w:rFonts w:hint="eastAsia" w:ascii="宋体" w:hAnsi="宋体" w:eastAsia="宋体" w:cs="宋体"/>
                <w:color w:val="auto"/>
                <w:sz w:val="24"/>
                <w:highlight w:val="none"/>
              </w:rPr>
              <w:t>中小企业声明函</w:t>
            </w:r>
          </w:p>
        </w:tc>
        <w:tc>
          <w:tcPr>
            <w:tcW w:w="1854" w:type="dxa"/>
            <w:noWrap w:val="0"/>
            <w:vAlign w:val="center"/>
          </w:tcPr>
          <w:p w14:paraId="1A1F0A59">
            <w:pPr>
              <w:spacing w:line="360" w:lineRule="auto"/>
              <w:rPr>
                <w:rFonts w:hint="eastAsia" w:ascii="宋体" w:hAnsi="宋体" w:eastAsia="宋体" w:cs="宋体"/>
                <w:b/>
                <w:color w:val="auto"/>
                <w:sz w:val="24"/>
                <w:highlight w:val="none"/>
              </w:rPr>
            </w:pPr>
          </w:p>
        </w:tc>
      </w:tr>
      <w:tr w14:paraId="0CDE9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2" w:hRule="atLeast"/>
        </w:trPr>
        <w:tc>
          <w:tcPr>
            <w:tcW w:w="1050" w:type="dxa"/>
            <w:noWrap w:val="0"/>
            <w:vAlign w:val="center"/>
          </w:tcPr>
          <w:p w14:paraId="2BB3CE30">
            <w:pPr>
              <w:jc w:val="center"/>
              <w:rPr>
                <w:rFonts w:hint="eastAsia" w:ascii="宋体" w:hAnsi="宋体" w:eastAsia="宋体" w:cs="宋体"/>
                <w:color w:val="auto"/>
                <w:sz w:val="24"/>
                <w:highlight w:val="none"/>
                <w:lang w:val="en-US" w:eastAsia="zh-CN"/>
              </w:rPr>
            </w:pPr>
            <w:r>
              <w:rPr>
                <w:rFonts w:hint="eastAsia" w:ascii="宋体" w:hAnsi="宋体" w:cs="宋体"/>
                <w:color w:val="auto"/>
                <w:sz w:val="24"/>
                <w:highlight w:val="none"/>
                <w:lang w:val="en-US" w:eastAsia="zh-CN"/>
              </w:rPr>
              <w:t>九</w:t>
            </w:r>
          </w:p>
        </w:tc>
        <w:tc>
          <w:tcPr>
            <w:tcW w:w="5460" w:type="dxa"/>
            <w:noWrap w:val="0"/>
            <w:vAlign w:val="center"/>
          </w:tcPr>
          <w:p w14:paraId="6759D5C3">
            <w:pPr>
              <w:rPr>
                <w:rFonts w:hint="eastAsia" w:ascii="宋体" w:hAnsi="宋体" w:eastAsia="宋体" w:cs="宋体"/>
                <w:color w:val="auto"/>
                <w:sz w:val="24"/>
                <w:highlight w:val="none"/>
              </w:rPr>
            </w:pPr>
            <w:r>
              <w:rPr>
                <w:rFonts w:hint="eastAsia" w:ascii="宋体" w:hAnsi="宋体" w:eastAsia="宋体" w:cs="宋体"/>
                <w:color w:val="auto"/>
                <w:sz w:val="24"/>
                <w:highlight w:val="none"/>
              </w:rPr>
              <w:t>售后服务</w:t>
            </w:r>
          </w:p>
        </w:tc>
        <w:tc>
          <w:tcPr>
            <w:tcW w:w="1854" w:type="dxa"/>
            <w:noWrap w:val="0"/>
            <w:vAlign w:val="center"/>
          </w:tcPr>
          <w:p w14:paraId="33FC23F2">
            <w:pPr>
              <w:spacing w:line="360" w:lineRule="auto"/>
              <w:rPr>
                <w:rFonts w:hint="eastAsia" w:ascii="宋体" w:hAnsi="宋体" w:eastAsia="宋体" w:cs="宋体"/>
                <w:b/>
                <w:color w:val="auto"/>
                <w:sz w:val="24"/>
                <w:highlight w:val="none"/>
              </w:rPr>
            </w:pPr>
          </w:p>
        </w:tc>
      </w:tr>
      <w:tr w14:paraId="21D8EE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56095B62">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十</w:t>
            </w:r>
          </w:p>
        </w:tc>
        <w:tc>
          <w:tcPr>
            <w:tcW w:w="5460" w:type="dxa"/>
            <w:noWrap w:val="0"/>
            <w:vAlign w:val="center"/>
          </w:tcPr>
          <w:p w14:paraId="0540BAD6">
            <w:pPr>
              <w:rPr>
                <w:rFonts w:hint="eastAsia" w:ascii="宋体" w:hAnsi="宋体" w:eastAsia="宋体" w:cs="宋体"/>
                <w:color w:val="auto"/>
                <w:sz w:val="24"/>
                <w:highlight w:val="none"/>
              </w:rPr>
            </w:pPr>
            <w:r>
              <w:rPr>
                <w:rFonts w:hint="eastAsia" w:ascii="宋体" w:hAnsi="宋体" w:eastAsia="宋体" w:cs="宋体"/>
                <w:color w:val="auto"/>
                <w:sz w:val="24"/>
                <w:highlight w:val="none"/>
              </w:rPr>
              <w:t>所投服务的技术资料等</w:t>
            </w:r>
          </w:p>
        </w:tc>
        <w:tc>
          <w:tcPr>
            <w:tcW w:w="1854" w:type="dxa"/>
            <w:noWrap w:val="0"/>
            <w:vAlign w:val="center"/>
          </w:tcPr>
          <w:p w14:paraId="3436CB1E">
            <w:pPr>
              <w:spacing w:line="360" w:lineRule="auto"/>
              <w:rPr>
                <w:rFonts w:hint="eastAsia" w:ascii="宋体" w:hAnsi="宋体" w:eastAsia="宋体" w:cs="宋体"/>
                <w:b/>
                <w:color w:val="auto"/>
                <w:sz w:val="24"/>
                <w:highlight w:val="none"/>
              </w:rPr>
            </w:pPr>
          </w:p>
        </w:tc>
      </w:tr>
      <w:tr w14:paraId="43932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9" w:hRule="atLeast"/>
        </w:trPr>
        <w:tc>
          <w:tcPr>
            <w:tcW w:w="1050" w:type="dxa"/>
            <w:noWrap w:val="0"/>
            <w:vAlign w:val="center"/>
          </w:tcPr>
          <w:p w14:paraId="4D16C289">
            <w:pPr>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rPr>
              <w:t>十</w:t>
            </w:r>
            <w:r>
              <w:rPr>
                <w:rFonts w:hint="eastAsia" w:ascii="宋体" w:hAnsi="宋体" w:cs="宋体"/>
                <w:color w:val="auto"/>
                <w:sz w:val="24"/>
                <w:highlight w:val="none"/>
                <w:lang w:val="en-US" w:eastAsia="zh-CN"/>
              </w:rPr>
              <w:t>一</w:t>
            </w:r>
          </w:p>
        </w:tc>
        <w:tc>
          <w:tcPr>
            <w:tcW w:w="5460" w:type="dxa"/>
            <w:noWrap w:val="0"/>
            <w:vAlign w:val="center"/>
          </w:tcPr>
          <w:p w14:paraId="54CD5AF6">
            <w:pPr>
              <w:rPr>
                <w:rFonts w:hint="eastAsia" w:ascii="宋体" w:hAnsi="宋体" w:eastAsia="宋体" w:cs="宋体"/>
                <w:color w:val="auto"/>
                <w:sz w:val="24"/>
                <w:highlight w:val="none"/>
              </w:rPr>
            </w:pPr>
            <w:r>
              <w:rPr>
                <w:rFonts w:hint="eastAsia" w:ascii="宋体" w:hAnsi="宋体" w:eastAsia="宋体" w:cs="宋体"/>
                <w:color w:val="auto"/>
                <w:sz w:val="24"/>
                <w:highlight w:val="none"/>
              </w:rPr>
              <w:t>其他投标人认为需要提供得材料等</w:t>
            </w:r>
          </w:p>
        </w:tc>
        <w:tc>
          <w:tcPr>
            <w:tcW w:w="1854" w:type="dxa"/>
            <w:noWrap w:val="0"/>
            <w:vAlign w:val="center"/>
          </w:tcPr>
          <w:p w14:paraId="69A1A6D8">
            <w:pPr>
              <w:spacing w:line="360" w:lineRule="auto"/>
              <w:rPr>
                <w:rFonts w:hint="eastAsia" w:ascii="宋体" w:hAnsi="宋体" w:eastAsia="宋体" w:cs="宋体"/>
                <w:b/>
                <w:color w:val="auto"/>
                <w:sz w:val="24"/>
                <w:highlight w:val="none"/>
              </w:rPr>
            </w:pPr>
          </w:p>
        </w:tc>
      </w:tr>
      <w:tr w14:paraId="5E5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9" w:hRule="atLeast"/>
        </w:trPr>
        <w:tc>
          <w:tcPr>
            <w:tcW w:w="1050" w:type="dxa"/>
            <w:noWrap w:val="0"/>
            <w:vAlign w:val="center"/>
          </w:tcPr>
          <w:p w14:paraId="3C8B321D">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十二</w:t>
            </w:r>
          </w:p>
        </w:tc>
        <w:tc>
          <w:tcPr>
            <w:tcW w:w="5460" w:type="dxa"/>
            <w:noWrap w:val="0"/>
            <w:vAlign w:val="center"/>
          </w:tcPr>
          <w:p w14:paraId="4F2A49A1">
            <w:pPr>
              <w:jc w:val="both"/>
              <w:rPr>
                <w:rFonts w:hint="eastAsia" w:ascii="宋体" w:hAnsi="宋体" w:eastAsia="宋体" w:cs="宋体"/>
                <w:color w:val="auto"/>
                <w:sz w:val="24"/>
                <w:highlight w:val="none"/>
              </w:rPr>
            </w:pPr>
            <w:r>
              <w:rPr>
                <w:rFonts w:hint="eastAsia" w:ascii="宋体" w:hAnsi="宋体" w:eastAsia="宋体" w:cs="宋体"/>
                <w:color w:val="auto"/>
                <w:sz w:val="24"/>
                <w:highlight w:val="none"/>
              </w:rPr>
              <w:t>政府采购供应商诚信承诺书</w:t>
            </w:r>
          </w:p>
          <w:p w14:paraId="4062C77B">
            <w:pPr>
              <w:jc w:val="center"/>
              <w:rPr>
                <w:rFonts w:hint="eastAsia" w:ascii="宋体" w:hAnsi="宋体" w:eastAsia="宋体" w:cs="宋体"/>
                <w:color w:val="auto"/>
                <w:sz w:val="24"/>
                <w:highlight w:val="none"/>
              </w:rPr>
            </w:pPr>
          </w:p>
        </w:tc>
        <w:tc>
          <w:tcPr>
            <w:tcW w:w="1854" w:type="dxa"/>
            <w:noWrap w:val="0"/>
            <w:vAlign w:val="center"/>
          </w:tcPr>
          <w:p w14:paraId="4E4CFA65">
            <w:pPr>
              <w:spacing w:line="360" w:lineRule="auto"/>
              <w:rPr>
                <w:rFonts w:hint="eastAsia" w:ascii="宋体" w:hAnsi="宋体" w:eastAsia="宋体" w:cs="宋体"/>
                <w:b/>
                <w:color w:val="auto"/>
                <w:sz w:val="24"/>
                <w:highlight w:val="none"/>
              </w:rPr>
            </w:pPr>
          </w:p>
        </w:tc>
      </w:tr>
      <w:tr w14:paraId="091DC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atLeast"/>
        </w:trPr>
        <w:tc>
          <w:tcPr>
            <w:tcW w:w="8364" w:type="dxa"/>
            <w:gridSpan w:val="3"/>
            <w:noWrap w:val="0"/>
            <w:vAlign w:val="center"/>
          </w:tcPr>
          <w:p w14:paraId="0B48C885">
            <w:pPr>
              <w:spacing w:line="500" w:lineRule="exact"/>
              <w:rPr>
                <w:rFonts w:hint="eastAsia" w:ascii="宋体" w:hAnsi="宋体" w:eastAsia="宋体" w:cs="宋体"/>
                <w:b/>
                <w:color w:val="auto"/>
                <w:sz w:val="28"/>
                <w:highlight w:val="none"/>
              </w:rPr>
            </w:pPr>
            <w:r>
              <w:rPr>
                <w:rFonts w:hint="eastAsia" w:ascii="宋体" w:hAnsi="宋体" w:eastAsia="宋体" w:cs="宋体"/>
                <w:b/>
                <w:color w:val="auto"/>
                <w:sz w:val="28"/>
                <w:highlight w:val="none"/>
              </w:rPr>
              <w:t>备注：投标文件资料清单是投标人制作投标文件的参考格式，并非必须格式，请各位投标人根据所投项目需要自行增减，是否依据了本格式或自行增减了多少格式并不是废标的条款。</w:t>
            </w:r>
          </w:p>
        </w:tc>
      </w:tr>
    </w:tbl>
    <w:p w14:paraId="64E5C392">
      <w:pPr>
        <w:spacing w:line="500" w:lineRule="exact"/>
        <w:rPr>
          <w:rFonts w:hint="eastAsia" w:ascii="宋体" w:hAnsi="宋体" w:eastAsia="宋体" w:cs="宋体"/>
          <w:color w:val="auto"/>
          <w:sz w:val="28"/>
          <w:highlight w:val="none"/>
        </w:rPr>
      </w:pPr>
    </w:p>
    <w:p w14:paraId="385892C1">
      <w:pPr>
        <w:pStyle w:val="17"/>
        <w:rPr>
          <w:rFonts w:hint="eastAsia" w:ascii="宋体" w:hAnsi="宋体" w:eastAsia="宋体" w:cs="宋体"/>
          <w:color w:val="auto"/>
          <w:highlight w:val="none"/>
        </w:rPr>
      </w:pPr>
    </w:p>
    <w:p w14:paraId="15D67FD2">
      <w:pPr>
        <w:pStyle w:val="17"/>
        <w:rPr>
          <w:rFonts w:hint="eastAsia" w:ascii="宋体" w:hAnsi="宋体" w:eastAsia="宋体" w:cs="宋体"/>
          <w:color w:val="auto"/>
          <w:highlight w:val="none"/>
        </w:rPr>
      </w:pPr>
    </w:p>
    <w:p w14:paraId="70D926CD">
      <w:pPr>
        <w:pStyle w:val="17"/>
        <w:rPr>
          <w:rFonts w:hint="eastAsia" w:ascii="宋体" w:hAnsi="宋体" w:eastAsia="宋体" w:cs="宋体"/>
          <w:color w:val="auto"/>
          <w:highlight w:val="none"/>
        </w:rPr>
      </w:pPr>
    </w:p>
    <w:p w14:paraId="2358049A">
      <w:pPr>
        <w:pStyle w:val="17"/>
        <w:rPr>
          <w:rFonts w:hint="eastAsia" w:ascii="宋体" w:hAnsi="宋体" w:eastAsia="宋体" w:cs="宋体"/>
          <w:color w:val="auto"/>
          <w:highlight w:val="none"/>
        </w:rPr>
      </w:pPr>
    </w:p>
    <w:p w14:paraId="0F5DD8EA">
      <w:pPr>
        <w:pStyle w:val="6"/>
        <w:rPr>
          <w:rFonts w:hint="eastAsia" w:ascii="宋体" w:hAnsi="宋体" w:eastAsia="宋体" w:cs="宋体"/>
          <w:color w:val="auto"/>
          <w:sz w:val="28"/>
          <w:highlight w:val="none"/>
          <w:lang w:eastAsia="zh-CN"/>
        </w:rPr>
      </w:pPr>
      <w:bookmarkStart w:id="145" w:name="_Toc2396_WPSOffice_Level2"/>
      <w:bookmarkStart w:id="146" w:name="_Toc197934561"/>
      <w:bookmarkStart w:id="147" w:name="_Toc40975449"/>
    </w:p>
    <w:p w14:paraId="022EC1CF">
      <w:pPr>
        <w:bidi w:val="0"/>
        <w:jc w:val="center"/>
        <w:rPr>
          <w:rFonts w:hint="eastAsia" w:ascii="宋体" w:hAnsi="宋体" w:eastAsia="宋体" w:cs="宋体"/>
          <w:b/>
          <w:bCs/>
          <w:color w:val="auto"/>
          <w:sz w:val="28"/>
          <w:szCs w:val="28"/>
          <w:highlight w:val="none"/>
        </w:rPr>
      </w:pPr>
      <w:bookmarkStart w:id="148" w:name="_Toc11226"/>
      <w:bookmarkStart w:id="149" w:name="_Toc5255"/>
      <w:bookmarkStart w:id="150" w:name="_Toc17431"/>
      <w:r>
        <w:rPr>
          <w:rFonts w:hint="eastAsia" w:ascii="宋体" w:hAnsi="宋体" w:eastAsia="宋体" w:cs="宋体"/>
          <w:b/>
          <w:bCs/>
          <w:color w:val="auto"/>
          <w:sz w:val="28"/>
          <w:szCs w:val="28"/>
          <w:highlight w:val="none"/>
        </w:rPr>
        <w:t>一．开标一览表</w:t>
      </w:r>
      <w:bookmarkEnd w:id="145"/>
      <w:bookmarkEnd w:id="146"/>
      <w:bookmarkEnd w:id="147"/>
      <w:bookmarkEnd w:id="148"/>
      <w:bookmarkEnd w:id="149"/>
      <w:bookmarkEnd w:id="150"/>
    </w:p>
    <w:tbl>
      <w:tblPr>
        <w:tblStyle w:val="2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56"/>
        <w:gridCol w:w="6309"/>
      </w:tblGrid>
      <w:tr w14:paraId="6FA22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85" w:hRule="atLeast"/>
          <w:jc w:val="center"/>
        </w:trPr>
        <w:tc>
          <w:tcPr>
            <w:tcW w:w="2056" w:type="dxa"/>
            <w:tcBorders>
              <w:top w:val="single" w:color="auto" w:sz="4" w:space="0"/>
              <w:bottom w:val="single" w:color="auto" w:sz="4" w:space="0"/>
              <w:right w:val="single" w:color="auto" w:sz="4" w:space="0"/>
            </w:tcBorders>
            <w:noWrap w:val="0"/>
            <w:vAlign w:val="center"/>
          </w:tcPr>
          <w:p w14:paraId="1F06BD41">
            <w:pPr>
              <w:widowControl/>
              <w:spacing w:line="36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项目名称</w:t>
            </w:r>
          </w:p>
        </w:tc>
        <w:tc>
          <w:tcPr>
            <w:tcW w:w="6309" w:type="dxa"/>
            <w:tcBorders>
              <w:top w:val="single" w:color="auto" w:sz="4" w:space="0"/>
              <w:bottom w:val="single" w:color="auto" w:sz="4" w:space="0"/>
              <w:right w:val="single" w:color="auto" w:sz="4" w:space="0"/>
            </w:tcBorders>
            <w:noWrap w:val="0"/>
            <w:vAlign w:val="center"/>
          </w:tcPr>
          <w:p w14:paraId="09B4D6B6">
            <w:pPr>
              <w:spacing w:line="360" w:lineRule="exact"/>
              <w:jc w:val="center"/>
              <w:rPr>
                <w:rFonts w:hint="eastAsia" w:ascii="宋体" w:hAnsi="宋体" w:eastAsia="宋体" w:cs="宋体"/>
                <w:bCs/>
                <w:color w:val="auto"/>
                <w:sz w:val="24"/>
                <w:highlight w:val="none"/>
                <w:u w:val="single"/>
              </w:rPr>
            </w:pPr>
          </w:p>
        </w:tc>
      </w:tr>
      <w:tr w14:paraId="6BEC3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51604DEF">
            <w:pPr>
              <w:spacing w:line="36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投标人全称</w:t>
            </w:r>
          </w:p>
        </w:tc>
        <w:tc>
          <w:tcPr>
            <w:tcW w:w="6309" w:type="dxa"/>
            <w:tcBorders>
              <w:top w:val="nil"/>
            </w:tcBorders>
            <w:noWrap w:val="0"/>
            <w:vAlign w:val="center"/>
          </w:tcPr>
          <w:p w14:paraId="0380A2EE">
            <w:pPr>
              <w:spacing w:line="360" w:lineRule="auto"/>
              <w:rPr>
                <w:rFonts w:hint="eastAsia" w:ascii="宋体" w:hAnsi="宋体" w:eastAsia="宋体" w:cs="宋体"/>
                <w:color w:val="auto"/>
                <w:sz w:val="24"/>
                <w:highlight w:val="none"/>
              </w:rPr>
            </w:pPr>
          </w:p>
        </w:tc>
      </w:tr>
      <w:tr w14:paraId="68E9C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0A3AFF93">
            <w:pPr>
              <w:spacing w:line="36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投标范围</w:t>
            </w:r>
          </w:p>
        </w:tc>
        <w:tc>
          <w:tcPr>
            <w:tcW w:w="6309" w:type="dxa"/>
            <w:tcBorders>
              <w:top w:val="nil"/>
            </w:tcBorders>
            <w:noWrap w:val="0"/>
            <w:vAlign w:val="center"/>
          </w:tcPr>
          <w:p w14:paraId="24387F72">
            <w:pPr>
              <w:widowControl/>
              <w:spacing w:line="360" w:lineRule="exact"/>
              <w:rPr>
                <w:rFonts w:hint="eastAsia" w:ascii="宋体" w:hAnsi="宋体" w:eastAsia="宋体" w:cs="宋体"/>
                <w:b/>
                <w:color w:val="auto"/>
                <w:sz w:val="24"/>
                <w:highlight w:val="none"/>
              </w:rPr>
            </w:pPr>
          </w:p>
        </w:tc>
      </w:tr>
      <w:tr w14:paraId="21544E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0" w:hRule="atLeast"/>
          <w:jc w:val="center"/>
        </w:trPr>
        <w:tc>
          <w:tcPr>
            <w:tcW w:w="2056" w:type="dxa"/>
            <w:tcBorders>
              <w:top w:val="nil"/>
            </w:tcBorders>
            <w:noWrap w:val="0"/>
            <w:vAlign w:val="center"/>
          </w:tcPr>
          <w:p w14:paraId="3B41D067">
            <w:pPr>
              <w:spacing w:line="36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1、最终投标报价</w:t>
            </w:r>
          </w:p>
          <w:p w14:paraId="77EBB414">
            <w:pPr>
              <w:spacing w:line="36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（人民币）</w:t>
            </w:r>
          </w:p>
          <w:p w14:paraId="3BE82FBD">
            <w:pPr>
              <w:spacing w:line="360" w:lineRule="exact"/>
              <w:rPr>
                <w:rFonts w:hint="eastAsia" w:ascii="宋体" w:hAnsi="宋体" w:eastAsia="宋体" w:cs="宋体"/>
                <w:color w:val="auto"/>
                <w:highlight w:val="none"/>
              </w:rPr>
            </w:pPr>
          </w:p>
        </w:tc>
        <w:tc>
          <w:tcPr>
            <w:tcW w:w="6309" w:type="dxa"/>
            <w:tcBorders>
              <w:top w:val="nil"/>
            </w:tcBorders>
            <w:noWrap w:val="0"/>
            <w:vAlign w:val="center"/>
          </w:tcPr>
          <w:p w14:paraId="63D77664">
            <w:pPr>
              <w:spacing w:line="360" w:lineRule="exact"/>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1、投标报价：        元、大写：         </w:t>
            </w:r>
          </w:p>
          <w:p w14:paraId="110E41D4">
            <w:pPr>
              <w:pStyle w:val="21"/>
              <w:ind w:right="-21" w:firstLine="540"/>
              <w:rPr>
                <w:rFonts w:hint="eastAsia" w:ascii="宋体" w:hAnsi="宋体" w:eastAsia="宋体" w:cs="宋体"/>
                <w:color w:val="auto"/>
                <w:highlight w:val="none"/>
                <w:lang w:val="en-US" w:eastAsia="zh-CN"/>
              </w:rPr>
            </w:pPr>
          </w:p>
        </w:tc>
      </w:tr>
      <w:tr w14:paraId="0818A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10" w:hRule="atLeast"/>
          <w:jc w:val="center"/>
        </w:trPr>
        <w:tc>
          <w:tcPr>
            <w:tcW w:w="2056" w:type="dxa"/>
            <w:tcBorders>
              <w:top w:val="nil"/>
            </w:tcBorders>
            <w:noWrap w:val="0"/>
            <w:vAlign w:val="center"/>
          </w:tcPr>
          <w:p w14:paraId="01CFA211">
            <w:pPr>
              <w:spacing w:line="360" w:lineRule="auto"/>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备注</w:t>
            </w:r>
          </w:p>
        </w:tc>
        <w:tc>
          <w:tcPr>
            <w:tcW w:w="6309" w:type="dxa"/>
            <w:tcBorders>
              <w:top w:val="nil"/>
            </w:tcBorders>
            <w:noWrap w:val="0"/>
            <w:vAlign w:val="center"/>
          </w:tcPr>
          <w:p w14:paraId="63E44A1A">
            <w:pPr>
              <w:spacing w:line="360" w:lineRule="auto"/>
              <w:jc w:val="left"/>
              <w:rPr>
                <w:rFonts w:hint="eastAsia" w:ascii="宋体" w:hAnsi="宋体" w:eastAsia="宋体" w:cs="宋体"/>
                <w:color w:val="auto"/>
                <w:sz w:val="24"/>
                <w:szCs w:val="28"/>
                <w:highlight w:val="none"/>
              </w:rPr>
            </w:pPr>
          </w:p>
        </w:tc>
      </w:tr>
    </w:tbl>
    <w:p w14:paraId="010C3148">
      <w:pPr>
        <w:spacing w:line="380" w:lineRule="exact"/>
        <w:ind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供应商名称：（电子签章）</w:t>
      </w:r>
    </w:p>
    <w:p w14:paraId="4DB16FDB">
      <w:pPr>
        <w:spacing w:line="380" w:lineRule="exact"/>
        <w:ind w:right="640" w:firstLine="1560" w:firstLineChars="650"/>
        <w:rPr>
          <w:rFonts w:hint="eastAsia" w:ascii="宋体" w:hAnsi="宋体" w:eastAsia="宋体" w:cs="宋体"/>
          <w:color w:val="auto"/>
          <w:sz w:val="24"/>
          <w:highlight w:val="none"/>
        </w:rPr>
      </w:pPr>
    </w:p>
    <w:p w14:paraId="34EC5800">
      <w:pPr>
        <w:spacing w:line="380" w:lineRule="exact"/>
        <w:ind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授权委托人和法人：（签字）：</w:t>
      </w:r>
    </w:p>
    <w:p w14:paraId="37131162">
      <w:pPr>
        <w:spacing w:line="380" w:lineRule="exact"/>
        <w:jc w:val="center"/>
        <w:rPr>
          <w:rFonts w:hint="eastAsia" w:ascii="宋体" w:hAnsi="宋体" w:eastAsia="宋体" w:cs="宋体"/>
          <w:color w:val="auto"/>
          <w:sz w:val="24"/>
          <w:highlight w:val="none"/>
        </w:rPr>
      </w:pPr>
    </w:p>
    <w:p w14:paraId="1544012B">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日期：      年   月    日</w:t>
      </w:r>
    </w:p>
    <w:p w14:paraId="44AE3628">
      <w:pPr>
        <w:spacing w:before="100" w:beforeAutospacing="1" w:after="100" w:afterAutospacing="1" w:line="360" w:lineRule="auto"/>
        <w:rPr>
          <w:rFonts w:hint="eastAsia" w:ascii="宋体" w:hAnsi="宋体" w:eastAsia="宋体" w:cs="宋体"/>
          <w:b/>
          <w:color w:val="auto"/>
          <w:sz w:val="24"/>
          <w:highlight w:val="none"/>
        </w:rPr>
      </w:pPr>
      <w:r>
        <w:rPr>
          <w:rFonts w:hint="eastAsia" w:ascii="宋体" w:hAnsi="宋体" w:eastAsia="宋体" w:cs="宋体"/>
          <w:b/>
          <w:color w:val="auto"/>
          <w:sz w:val="24"/>
          <w:highlight w:val="none"/>
        </w:rPr>
        <w:t xml:space="preserve">                                           </w:t>
      </w:r>
    </w:p>
    <w:p w14:paraId="79713F74">
      <w:pPr>
        <w:spacing w:line="500" w:lineRule="exact"/>
        <w:jc w:val="center"/>
        <w:rPr>
          <w:rFonts w:hint="eastAsia" w:ascii="宋体" w:hAnsi="宋体" w:eastAsia="宋体" w:cs="宋体"/>
          <w:b/>
          <w:bCs/>
          <w:color w:val="auto"/>
          <w:sz w:val="30"/>
          <w:highlight w:val="none"/>
        </w:rPr>
      </w:pPr>
    </w:p>
    <w:p w14:paraId="271BCF1D">
      <w:pPr>
        <w:spacing w:line="500" w:lineRule="exact"/>
        <w:jc w:val="center"/>
        <w:rPr>
          <w:rFonts w:hint="eastAsia" w:ascii="宋体" w:hAnsi="宋体" w:eastAsia="宋体" w:cs="宋体"/>
          <w:b/>
          <w:bCs/>
          <w:color w:val="auto"/>
          <w:sz w:val="30"/>
          <w:highlight w:val="none"/>
        </w:rPr>
      </w:pPr>
    </w:p>
    <w:p w14:paraId="75553E7C">
      <w:pPr>
        <w:spacing w:line="500" w:lineRule="exact"/>
        <w:jc w:val="center"/>
        <w:rPr>
          <w:rFonts w:hint="eastAsia" w:ascii="宋体" w:hAnsi="宋体" w:eastAsia="宋体" w:cs="宋体"/>
          <w:b/>
          <w:bCs/>
          <w:color w:val="auto"/>
          <w:sz w:val="30"/>
          <w:highlight w:val="none"/>
        </w:rPr>
      </w:pPr>
    </w:p>
    <w:p w14:paraId="4D44E86D">
      <w:pPr>
        <w:pStyle w:val="6"/>
        <w:pageBreakBefore w:val="0"/>
        <w:widowControl w:val="0"/>
        <w:kinsoku/>
        <w:wordWrap/>
        <w:overflowPunct/>
        <w:topLinePunct w:val="0"/>
        <w:autoSpaceDE/>
        <w:autoSpaceDN/>
        <w:bidi w:val="0"/>
        <w:adjustRightInd/>
        <w:spacing w:line="240" w:lineRule="auto"/>
        <w:textAlignment w:val="auto"/>
        <w:rPr>
          <w:rFonts w:hint="eastAsia" w:ascii="宋体" w:hAnsi="宋体" w:eastAsia="宋体" w:cs="宋体"/>
          <w:color w:val="auto"/>
          <w:sz w:val="28"/>
          <w:highlight w:val="none"/>
        </w:rPr>
      </w:pPr>
      <w:bookmarkStart w:id="151" w:name="_Hlt509716873"/>
      <w:bookmarkEnd w:id="151"/>
      <w:bookmarkStart w:id="152" w:name="_Hlt533409360"/>
      <w:bookmarkEnd w:id="152"/>
      <w:bookmarkStart w:id="153" w:name="_Hlt533408916"/>
      <w:bookmarkEnd w:id="153"/>
      <w:bookmarkStart w:id="154" w:name="_Hlt533408409"/>
      <w:bookmarkEnd w:id="154"/>
      <w:bookmarkStart w:id="155" w:name="_Hlt519045798"/>
      <w:bookmarkEnd w:id="155"/>
      <w:bookmarkStart w:id="156" w:name="_Toc32321"/>
      <w:bookmarkStart w:id="157" w:name="_Toc40975450"/>
      <w:bookmarkStart w:id="158" w:name="_Toc516969097"/>
      <w:bookmarkStart w:id="159" w:name="_Toc11175_WPSOffice_Level2"/>
      <w:bookmarkStart w:id="160" w:name="_Toc6108"/>
      <w:bookmarkStart w:id="161" w:name="_Toc18070"/>
      <w:bookmarkStart w:id="162" w:name="_Toc197934563"/>
      <w:r>
        <w:rPr>
          <w:rFonts w:hint="eastAsia" w:ascii="宋体" w:hAnsi="宋体" w:eastAsia="宋体" w:cs="宋体"/>
          <w:color w:val="auto"/>
          <w:sz w:val="28"/>
          <w:highlight w:val="none"/>
        </w:rPr>
        <w:t>二．投标人综合情况简介</w:t>
      </w:r>
      <w:bookmarkEnd w:id="156"/>
      <w:bookmarkEnd w:id="157"/>
      <w:bookmarkEnd w:id="158"/>
      <w:bookmarkEnd w:id="159"/>
      <w:bookmarkEnd w:id="160"/>
      <w:bookmarkEnd w:id="161"/>
    </w:p>
    <w:p w14:paraId="649914C5">
      <w:pPr>
        <w:pageBreakBefore w:val="0"/>
        <w:widowControl w:val="0"/>
        <w:kinsoku/>
        <w:wordWrap/>
        <w:overflowPunct/>
        <w:topLinePunct w:val="0"/>
        <w:autoSpaceDE/>
        <w:autoSpaceDN/>
        <w:bidi w:val="0"/>
        <w:adjustRightInd/>
        <w:spacing w:line="240" w:lineRule="auto"/>
        <w:jc w:val="center"/>
        <w:textAlignment w:val="auto"/>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(投标人可自行制作格式)</w:t>
      </w:r>
    </w:p>
    <w:p w14:paraId="1F86D3B0">
      <w:pPr>
        <w:pStyle w:val="17"/>
        <w:pageBreakBefore w:val="0"/>
        <w:widowControl w:val="0"/>
        <w:kinsoku/>
        <w:wordWrap/>
        <w:overflowPunct/>
        <w:topLinePunct w:val="0"/>
        <w:autoSpaceDE/>
        <w:autoSpaceDN/>
        <w:bidi w:val="0"/>
        <w:adjustRightInd/>
        <w:spacing w:line="240" w:lineRule="auto"/>
        <w:textAlignment w:val="auto"/>
        <w:rPr>
          <w:rFonts w:hint="eastAsia" w:ascii="宋体" w:hAnsi="宋体" w:eastAsia="宋体" w:cs="宋体"/>
          <w:color w:val="auto"/>
          <w:highlight w:val="none"/>
        </w:rPr>
      </w:pPr>
    </w:p>
    <w:p w14:paraId="0E4DB50F">
      <w:pPr>
        <w:pStyle w:val="6"/>
        <w:pageBreakBefore w:val="0"/>
        <w:widowControl w:val="0"/>
        <w:kinsoku/>
        <w:wordWrap/>
        <w:overflowPunct/>
        <w:topLinePunct w:val="0"/>
        <w:autoSpaceDE/>
        <w:autoSpaceDN/>
        <w:bidi w:val="0"/>
        <w:adjustRightInd/>
        <w:spacing w:after="240" w:line="240" w:lineRule="auto"/>
        <w:textAlignment w:val="auto"/>
        <w:rPr>
          <w:rFonts w:hint="eastAsia" w:ascii="宋体" w:hAnsi="宋体" w:eastAsia="宋体" w:cs="宋体"/>
          <w:color w:val="auto"/>
          <w:sz w:val="28"/>
          <w:highlight w:val="none"/>
        </w:rPr>
      </w:pPr>
      <w:bookmarkStart w:id="163" w:name="_Hlt509739007"/>
      <w:bookmarkEnd w:id="163"/>
      <w:bookmarkStart w:id="164" w:name="_Toc40975451"/>
      <w:bookmarkStart w:id="165" w:name="_Toc23480"/>
      <w:bookmarkStart w:id="166" w:name="_Toc516969098"/>
      <w:bookmarkStart w:id="167" w:name="_Toc25232"/>
      <w:bookmarkStart w:id="168" w:name="_Toc15297"/>
      <w:bookmarkStart w:id="169" w:name="_Toc1391_WPSOffice_Level2"/>
      <w:r>
        <w:rPr>
          <w:rFonts w:hint="eastAsia" w:ascii="宋体" w:hAnsi="宋体" w:eastAsia="宋体" w:cs="宋体"/>
          <w:color w:val="auto"/>
          <w:sz w:val="28"/>
          <w:highlight w:val="none"/>
        </w:rPr>
        <w:t>三．投标函</w:t>
      </w:r>
      <w:bookmarkEnd w:id="164"/>
      <w:bookmarkEnd w:id="165"/>
      <w:bookmarkEnd w:id="166"/>
      <w:bookmarkEnd w:id="167"/>
      <w:bookmarkEnd w:id="168"/>
      <w:bookmarkEnd w:id="169"/>
    </w:p>
    <w:p w14:paraId="2BC331E5">
      <w:pPr>
        <w:pStyle w:val="14"/>
        <w:spacing w:line="360" w:lineRule="auto"/>
        <w:rPr>
          <w:rFonts w:hint="eastAsia" w:ascii="宋体" w:hAnsi="宋体" w:eastAsia="宋体" w:cs="宋体"/>
          <w:b w:val="0"/>
          <w:color w:val="auto"/>
          <w:kern w:val="2"/>
          <w:sz w:val="24"/>
          <w:highlight w:val="none"/>
          <w:lang w:val="en-US" w:eastAsia="zh-CN" w:bidi="ar-SA"/>
        </w:rPr>
      </w:pPr>
      <w:r>
        <w:rPr>
          <w:rFonts w:hint="eastAsia" w:ascii="宋体" w:hAnsi="宋体" w:eastAsia="宋体" w:cs="宋体"/>
          <w:b w:val="0"/>
          <w:color w:val="auto"/>
          <w:kern w:val="2"/>
          <w:sz w:val="24"/>
          <w:highlight w:val="none"/>
          <w:lang w:val="en-US" w:eastAsia="zh-CN" w:bidi="ar-SA"/>
        </w:rPr>
        <w:t>致：（采购人或采购代理机构）</w:t>
      </w:r>
    </w:p>
    <w:p w14:paraId="443F0443">
      <w:pPr>
        <w:spacing w:line="360" w:lineRule="auto"/>
        <w:ind w:left="239" w:leftChars="114" w:firstLine="386" w:firstLineChars="161"/>
        <w:rPr>
          <w:rFonts w:hint="eastAsia" w:ascii="宋体" w:hAnsi="宋体" w:eastAsia="宋体" w:cs="宋体"/>
          <w:b/>
          <w:bCs/>
          <w:color w:val="auto"/>
          <w:sz w:val="24"/>
          <w:highlight w:val="none"/>
          <w:u w:val="single"/>
        </w:rPr>
      </w:pPr>
      <w:r>
        <w:rPr>
          <w:rFonts w:hint="eastAsia" w:ascii="宋体" w:hAnsi="宋体" w:eastAsia="宋体" w:cs="宋体"/>
          <w:color w:val="auto"/>
          <w:sz w:val="24"/>
          <w:highlight w:val="none"/>
        </w:rPr>
        <w:t>根据贵方“</w:t>
      </w:r>
      <w:r>
        <w:rPr>
          <w:rFonts w:hint="eastAsia" w:ascii="宋体" w:hAnsi="宋体" w:eastAsia="宋体" w:cs="宋体"/>
          <w:color w:val="auto"/>
          <w:sz w:val="24"/>
          <w:highlight w:val="none"/>
          <w:lang w:eastAsia="zh-CN"/>
        </w:rPr>
        <w:t>（</w:t>
      </w:r>
      <w:r>
        <w:rPr>
          <w:rFonts w:hint="eastAsia" w:ascii="宋体" w:hAnsi="宋体" w:eastAsia="宋体" w:cs="宋体"/>
          <w:b/>
          <w:bCs/>
          <w:color w:val="auto"/>
          <w:sz w:val="24"/>
          <w:highlight w:val="none"/>
          <w:u w:val="single"/>
          <w:lang w:val="en-US" w:eastAsia="zh-CN"/>
        </w:rPr>
        <w:t>项目名称、项目编号</w:t>
      </w:r>
      <w:r>
        <w:rPr>
          <w:rFonts w:hint="eastAsia" w:ascii="宋体" w:hAnsi="宋体" w:eastAsia="宋体" w:cs="宋体"/>
          <w:b/>
          <w:bCs/>
          <w:color w:val="auto"/>
          <w:sz w:val="24"/>
          <w:highlight w:val="none"/>
          <w:u w:val="single"/>
        </w:rPr>
        <w:t>)</w:t>
      </w:r>
      <w:r>
        <w:rPr>
          <w:rFonts w:hint="eastAsia" w:ascii="宋体" w:hAnsi="宋体" w:eastAsia="宋体" w:cs="宋体"/>
          <w:color w:val="auto"/>
          <w:sz w:val="24"/>
          <w:highlight w:val="none"/>
        </w:rPr>
        <w:t>”项目招标邀请书或招标公告，正式授权下述签字人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（姓名）代表投标人</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（投标人全称），提交规定形式的投标文件。</w:t>
      </w:r>
    </w:p>
    <w:p w14:paraId="1499213A">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据此函，我方兹宣布同意如下：</w:t>
      </w:r>
    </w:p>
    <w:p w14:paraId="250BE23A">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（1）如我公司中标，愿意按招标文件规定提供交付服务（包括税费等工作）的总报价为人民币</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元，服务期</w:t>
      </w:r>
      <w:r>
        <w:rPr>
          <w:rFonts w:hint="eastAsia" w:ascii="宋体" w:hAnsi="宋体" w:eastAsia="宋体" w:cs="宋体"/>
          <w:color w:val="auto"/>
          <w:sz w:val="24"/>
          <w:highlight w:val="none"/>
          <w:u w:val="single"/>
        </w:rPr>
        <w:t xml:space="preserve">        </w:t>
      </w:r>
      <w:r>
        <w:rPr>
          <w:rFonts w:hint="eastAsia" w:ascii="宋体" w:hAnsi="宋体" w:eastAsia="宋体" w:cs="宋体"/>
          <w:color w:val="auto"/>
          <w:sz w:val="24"/>
          <w:highlight w:val="none"/>
        </w:rPr>
        <w:t>。</w:t>
      </w:r>
    </w:p>
    <w:p w14:paraId="726B4148">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（2）我方根据招标文件的规定，严格履行合同的责任和义务,并保证于买方要求的日期内完成服务，并通过买方验收。</w:t>
      </w:r>
    </w:p>
    <w:p w14:paraId="1FEAFEB8">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（3）我方承诺报价低于同类货物和服务的市场平均价格。</w:t>
      </w:r>
    </w:p>
    <w:p w14:paraId="6F6B2DDB">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4）我方已详细审核全部招标文件，包括招标文件修改书（如有），参考资料及有关附件，我方正式认可本次招标文件，并对招标文件各项条款（包括开标时间）均无异议。我方知道必须放弃提出含糊不清或误解的问题的权利。</w:t>
      </w:r>
    </w:p>
    <w:p w14:paraId="6204F41B">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（5）我方同意从招标文件规定的开标日期起遵循本投标文件，并在招标文件规定的投标有效期之前均具有约束力。</w:t>
      </w:r>
    </w:p>
    <w:p w14:paraId="4C5EF967">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6）我方声明投标文件所提供的一切资料及周口市公共资源交易中心会员库申报资料均真实、及时、有效。由于我方提供资料不实而造成的责任和后果由我方承担。我方同意按照贵方提出的要求，提供与投标有关的任何证据、数据或资料。</w:t>
      </w:r>
    </w:p>
    <w:p w14:paraId="20EC7E31">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（7）我方完全理解贵方不一定接受最低报价的投标。</w:t>
      </w:r>
    </w:p>
    <w:p w14:paraId="6595AC86">
      <w:pPr>
        <w:spacing w:line="360" w:lineRule="auto"/>
        <w:ind w:firstLine="630"/>
        <w:rPr>
          <w:rFonts w:hint="eastAsia" w:ascii="宋体" w:hAnsi="宋体" w:eastAsia="宋体" w:cs="宋体"/>
          <w:color w:val="auto"/>
          <w:sz w:val="24"/>
          <w:highlight w:val="none"/>
        </w:rPr>
      </w:pPr>
      <w:r>
        <w:rPr>
          <w:rFonts w:hint="eastAsia" w:ascii="宋体" w:hAnsi="宋体" w:eastAsia="宋体" w:cs="宋体"/>
          <w:color w:val="auto"/>
          <w:sz w:val="24"/>
          <w:highlight w:val="none"/>
        </w:rPr>
        <w:t>（8）我方同意招标文件规定的付款方式。</w:t>
      </w:r>
    </w:p>
    <w:p w14:paraId="7B4894CE">
      <w:pPr>
        <w:spacing w:line="360" w:lineRule="auto"/>
        <w:ind w:firstLine="63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（9）与本投标有关的通讯地址：</w:t>
      </w:r>
      <w:r>
        <w:rPr>
          <w:rFonts w:hint="eastAsia" w:ascii="宋体" w:hAnsi="宋体" w:eastAsia="宋体" w:cs="宋体"/>
          <w:color w:val="auto"/>
          <w:sz w:val="24"/>
          <w:highlight w:val="none"/>
          <w:u w:val="single"/>
        </w:rPr>
        <w:t xml:space="preserve">                                  </w:t>
      </w:r>
    </w:p>
    <w:p w14:paraId="534D1858">
      <w:pPr>
        <w:pStyle w:val="26"/>
        <w:ind w:firstLine="720" w:firstLineChars="300"/>
        <w:rPr>
          <w:rFonts w:hint="default" w:ascii="宋体" w:hAnsi="宋体" w:eastAsia="宋体" w:cs="宋体"/>
          <w:color w:val="auto"/>
          <w:kern w:val="2"/>
          <w:sz w:val="24"/>
          <w:highlight w:val="none"/>
          <w:lang w:val="en-US" w:eastAsia="zh-CN" w:bidi="ar-SA"/>
        </w:rPr>
      </w:pPr>
      <w:r>
        <w:rPr>
          <w:rFonts w:hint="eastAsia" w:ascii="宋体" w:hAnsi="宋体" w:eastAsia="宋体" w:cs="宋体"/>
          <w:color w:val="auto"/>
          <w:kern w:val="2"/>
          <w:sz w:val="24"/>
          <w:highlight w:val="none"/>
          <w:lang w:val="en-US" w:eastAsia="zh-CN" w:bidi="ar-SA"/>
        </w:rPr>
        <w:t>（10）本项目项目责任人：   电话：</w:t>
      </w:r>
    </w:p>
    <w:p w14:paraId="77EC5664">
      <w:pPr>
        <w:spacing w:line="380" w:lineRule="exact"/>
        <w:ind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章）</w:t>
      </w:r>
    </w:p>
    <w:p w14:paraId="1ED5D4A6">
      <w:pPr>
        <w:spacing w:line="380" w:lineRule="exact"/>
        <w:ind w:right="640"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法人代表：（签</w:t>
      </w:r>
      <w:r>
        <w:rPr>
          <w:rFonts w:hint="eastAsia" w:ascii="宋体" w:hAnsi="宋体" w:eastAsia="宋体" w:cs="宋体"/>
          <w:color w:val="auto"/>
          <w:sz w:val="24"/>
          <w:highlight w:val="none"/>
          <w:lang w:val="en-US" w:eastAsia="zh-CN"/>
        </w:rPr>
        <w:t>字</w:t>
      </w:r>
      <w:r>
        <w:rPr>
          <w:rFonts w:hint="eastAsia" w:ascii="宋体" w:hAnsi="宋体" w:eastAsia="宋体" w:cs="宋体"/>
          <w:color w:val="auto"/>
          <w:sz w:val="24"/>
          <w:highlight w:val="none"/>
        </w:rPr>
        <w:t>）</w:t>
      </w:r>
    </w:p>
    <w:p w14:paraId="1756C0A7">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lang w:val="en-US" w:eastAsia="zh-CN"/>
        </w:rPr>
        <w:t xml:space="preserve">      </w:t>
      </w:r>
      <w:r>
        <w:rPr>
          <w:rFonts w:hint="eastAsia" w:ascii="宋体" w:hAnsi="宋体" w:eastAsia="宋体" w:cs="宋体"/>
          <w:color w:val="auto"/>
          <w:sz w:val="24"/>
          <w:highlight w:val="none"/>
        </w:rPr>
        <w:t xml:space="preserve">  日期：      年   月    日</w:t>
      </w:r>
    </w:p>
    <w:bookmarkEnd w:id="162"/>
    <w:p w14:paraId="72D8974B">
      <w:pPr>
        <w:pStyle w:val="6"/>
        <w:rPr>
          <w:rFonts w:hint="eastAsia" w:ascii="宋体" w:hAnsi="宋体" w:eastAsia="宋体" w:cs="宋体"/>
          <w:color w:val="auto"/>
          <w:sz w:val="28"/>
          <w:szCs w:val="36"/>
          <w:highlight w:val="none"/>
        </w:rPr>
      </w:pPr>
      <w:bookmarkStart w:id="170" w:name="_Toc200"/>
      <w:bookmarkStart w:id="171" w:name="_Toc24077_WPSOffice_Level2"/>
      <w:bookmarkStart w:id="172" w:name="_Toc40975452"/>
      <w:bookmarkStart w:id="173" w:name="_Toc220232409"/>
      <w:bookmarkStart w:id="174" w:name="_Toc15353"/>
      <w:bookmarkStart w:id="175" w:name="_Toc27702"/>
      <w:r>
        <w:rPr>
          <w:rFonts w:hint="eastAsia" w:ascii="宋体" w:hAnsi="宋体" w:eastAsia="宋体" w:cs="宋体"/>
          <w:color w:val="auto"/>
          <w:sz w:val="28"/>
          <w:highlight w:val="none"/>
        </w:rPr>
        <w:t>四．投标分项报价表</w:t>
      </w:r>
      <w:bookmarkEnd w:id="170"/>
      <w:bookmarkEnd w:id="171"/>
      <w:bookmarkEnd w:id="172"/>
      <w:bookmarkEnd w:id="173"/>
      <w:bookmarkEnd w:id="174"/>
      <w:bookmarkEnd w:id="175"/>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2205"/>
        <w:gridCol w:w="957"/>
        <w:gridCol w:w="840"/>
        <w:gridCol w:w="1260"/>
        <w:gridCol w:w="1340"/>
        <w:gridCol w:w="922"/>
      </w:tblGrid>
      <w:tr w14:paraId="15355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center"/>
          </w:tcPr>
          <w:p w14:paraId="357071B9">
            <w:pPr>
              <w:pStyle w:val="33"/>
              <w:widowControl w:val="0"/>
              <w:spacing w:before="0" w:beforeAutospacing="0" w:after="0" w:afterAutospacing="0"/>
              <w:rPr>
                <w:rFonts w:hint="eastAsia" w:ascii="宋体" w:hAnsi="宋体" w:eastAsia="宋体" w:cs="宋体"/>
                <w:bCs w:val="0"/>
                <w:color w:val="auto"/>
                <w:kern w:val="2"/>
                <w:sz w:val="24"/>
                <w:szCs w:val="20"/>
                <w:highlight w:val="none"/>
              </w:rPr>
            </w:pPr>
            <w:r>
              <w:rPr>
                <w:rFonts w:hint="eastAsia" w:ascii="宋体" w:hAnsi="宋体" w:eastAsia="宋体" w:cs="宋体"/>
                <w:bCs w:val="0"/>
                <w:color w:val="auto"/>
                <w:kern w:val="2"/>
                <w:sz w:val="24"/>
                <w:szCs w:val="20"/>
                <w:highlight w:val="none"/>
              </w:rPr>
              <w:t>序号</w:t>
            </w:r>
          </w:p>
        </w:tc>
        <w:tc>
          <w:tcPr>
            <w:tcW w:w="2205" w:type="dxa"/>
            <w:noWrap w:val="0"/>
            <w:vAlign w:val="center"/>
          </w:tcPr>
          <w:p w14:paraId="22D37EA3">
            <w:pPr>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名称</w:t>
            </w:r>
          </w:p>
        </w:tc>
        <w:tc>
          <w:tcPr>
            <w:tcW w:w="957" w:type="dxa"/>
            <w:noWrap w:val="0"/>
            <w:vAlign w:val="center"/>
          </w:tcPr>
          <w:p w14:paraId="3A1035A8">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单位</w:t>
            </w:r>
          </w:p>
        </w:tc>
        <w:tc>
          <w:tcPr>
            <w:tcW w:w="840" w:type="dxa"/>
            <w:noWrap w:val="0"/>
            <w:vAlign w:val="center"/>
          </w:tcPr>
          <w:p w14:paraId="4AA5E7EC">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数量</w:t>
            </w:r>
          </w:p>
        </w:tc>
        <w:tc>
          <w:tcPr>
            <w:tcW w:w="1260" w:type="dxa"/>
            <w:noWrap w:val="0"/>
            <w:vAlign w:val="center"/>
          </w:tcPr>
          <w:p w14:paraId="2E83D002">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单价</w:t>
            </w:r>
          </w:p>
        </w:tc>
        <w:tc>
          <w:tcPr>
            <w:tcW w:w="1340" w:type="dxa"/>
            <w:noWrap w:val="0"/>
            <w:vAlign w:val="center"/>
          </w:tcPr>
          <w:p w14:paraId="0CEFFB71">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小计</w:t>
            </w:r>
          </w:p>
        </w:tc>
        <w:tc>
          <w:tcPr>
            <w:tcW w:w="922" w:type="dxa"/>
            <w:noWrap w:val="0"/>
            <w:vAlign w:val="center"/>
          </w:tcPr>
          <w:p w14:paraId="5E989C8F">
            <w:pPr>
              <w:jc w:val="center"/>
              <w:rPr>
                <w:rFonts w:hint="eastAsia" w:ascii="宋体" w:hAnsi="宋体" w:eastAsia="宋体" w:cs="宋体"/>
                <w:b/>
                <w:color w:val="auto"/>
                <w:sz w:val="24"/>
                <w:highlight w:val="none"/>
              </w:rPr>
            </w:pPr>
            <w:r>
              <w:rPr>
                <w:rFonts w:hint="eastAsia" w:ascii="宋体" w:hAnsi="宋体" w:eastAsia="宋体" w:cs="宋体"/>
                <w:b/>
                <w:color w:val="auto"/>
                <w:sz w:val="24"/>
                <w:highlight w:val="none"/>
              </w:rPr>
              <w:t>备注</w:t>
            </w:r>
          </w:p>
        </w:tc>
      </w:tr>
      <w:tr w14:paraId="786E2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tcBorders>
              <w:bottom w:val="single" w:color="auto" w:sz="4" w:space="0"/>
            </w:tcBorders>
            <w:noWrap w:val="0"/>
            <w:vAlign w:val="top"/>
          </w:tcPr>
          <w:p w14:paraId="12A0EFA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2205" w:type="dxa"/>
            <w:noWrap w:val="0"/>
            <w:vAlign w:val="top"/>
          </w:tcPr>
          <w:p w14:paraId="0224D55E">
            <w:pPr>
              <w:rPr>
                <w:rFonts w:hint="eastAsia" w:ascii="宋体" w:hAnsi="宋体" w:eastAsia="宋体" w:cs="宋体"/>
                <w:color w:val="auto"/>
                <w:sz w:val="24"/>
                <w:highlight w:val="none"/>
              </w:rPr>
            </w:pPr>
          </w:p>
        </w:tc>
        <w:tc>
          <w:tcPr>
            <w:tcW w:w="957" w:type="dxa"/>
            <w:noWrap w:val="0"/>
            <w:vAlign w:val="top"/>
          </w:tcPr>
          <w:p w14:paraId="2BD56BA7">
            <w:pPr>
              <w:rPr>
                <w:rFonts w:hint="eastAsia" w:ascii="宋体" w:hAnsi="宋体" w:eastAsia="宋体" w:cs="宋体"/>
                <w:color w:val="auto"/>
                <w:sz w:val="24"/>
                <w:highlight w:val="none"/>
              </w:rPr>
            </w:pPr>
          </w:p>
        </w:tc>
        <w:tc>
          <w:tcPr>
            <w:tcW w:w="840" w:type="dxa"/>
            <w:noWrap w:val="0"/>
            <w:vAlign w:val="top"/>
          </w:tcPr>
          <w:p w14:paraId="26D644E7">
            <w:pPr>
              <w:rPr>
                <w:rFonts w:hint="eastAsia" w:ascii="宋体" w:hAnsi="宋体" w:eastAsia="宋体" w:cs="宋体"/>
                <w:color w:val="auto"/>
                <w:sz w:val="24"/>
                <w:highlight w:val="none"/>
              </w:rPr>
            </w:pPr>
          </w:p>
        </w:tc>
        <w:tc>
          <w:tcPr>
            <w:tcW w:w="1260" w:type="dxa"/>
            <w:noWrap w:val="0"/>
            <w:vAlign w:val="top"/>
          </w:tcPr>
          <w:p w14:paraId="6100CD76">
            <w:pPr>
              <w:rPr>
                <w:rFonts w:hint="eastAsia" w:ascii="宋体" w:hAnsi="宋体" w:eastAsia="宋体" w:cs="宋体"/>
                <w:color w:val="auto"/>
                <w:sz w:val="24"/>
                <w:highlight w:val="none"/>
              </w:rPr>
            </w:pPr>
          </w:p>
        </w:tc>
        <w:tc>
          <w:tcPr>
            <w:tcW w:w="1340" w:type="dxa"/>
            <w:noWrap w:val="0"/>
            <w:vAlign w:val="top"/>
          </w:tcPr>
          <w:p w14:paraId="2FFEB3E6">
            <w:pPr>
              <w:rPr>
                <w:rFonts w:hint="eastAsia" w:ascii="宋体" w:hAnsi="宋体" w:eastAsia="宋体" w:cs="宋体"/>
                <w:color w:val="auto"/>
                <w:sz w:val="24"/>
                <w:highlight w:val="none"/>
              </w:rPr>
            </w:pPr>
          </w:p>
        </w:tc>
        <w:tc>
          <w:tcPr>
            <w:tcW w:w="922" w:type="dxa"/>
            <w:noWrap w:val="0"/>
            <w:vAlign w:val="top"/>
          </w:tcPr>
          <w:p w14:paraId="1357A7E1">
            <w:pPr>
              <w:rPr>
                <w:rFonts w:hint="eastAsia" w:ascii="宋体" w:hAnsi="宋体" w:eastAsia="宋体" w:cs="宋体"/>
                <w:color w:val="auto"/>
                <w:sz w:val="24"/>
                <w:highlight w:val="none"/>
              </w:rPr>
            </w:pPr>
          </w:p>
        </w:tc>
      </w:tr>
      <w:tr w14:paraId="062146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5CB05AAF">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2205" w:type="dxa"/>
            <w:noWrap w:val="0"/>
            <w:vAlign w:val="top"/>
          </w:tcPr>
          <w:p w14:paraId="7A21A413">
            <w:pPr>
              <w:rPr>
                <w:rFonts w:hint="eastAsia" w:ascii="宋体" w:hAnsi="宋体" w:eastAsia="宋体" w:cs="宋体"/>
                <w:color w:val="auto"/>
                <w:sz w:val="24"/>
                <w:highlight w:val="none"/>
              </w:rPr>
            </w:pPr>
          </w:p>
        </w:tc>
        <w:tc>
          <w:tcPr>
            <w:tcW w:w="957" w:type="dxa"/>
            <w:noWrap w:val="0"/>
            <w:vAlign w:val="top"/>
          </w:tcPr>
          <w:p w14:paraId="4289DF32">
            <w:pPr>
              <w:rPr>
                <w:rFonts w:hint="eastAsia" w:ascii="宋体" w:hAnsi="宋体" w:eastAsia="宋体" w:cs="宋体"/>
                <w:color w:val="auto"/>
                <w:sz w:val="24"/>
                <w:highlight w:val="none"/>
              </w:rPr>
            </w:pPr>
          </w:p>
        </w:tc>
        <w:tc>
          <w:tcPr>
            <w:tcW w:w="840" w:type="dxa"/>
            <w:noWrap w:val="0"/>
            <w:vAlign w:val="top"/>
          </w:tcPr>
          <w:p w14:paraId="5753EACA">
            <w:pPr>
              <w:rPr>
                <w:rFonts w:hint="eastAsia" w:ascii="宋体" w:hAnsi="宋体" w:eastAsia="宋体" w:cs="宋体"/>
                <w:color w:val="auto"/>
                <w:sz w:val="24"/>
                <w:highlight w:val="none"/>
              </w:rPr>
            </w:pPr>
          </w:p>
        </w:tc>
        <w:tc>
          <w:tcPr>
            <w:tcW w:w="1260" w:type="dxa"/>
            <w:noWrap w:val="0"/>
            <w:vAlign w:val="top"/>
          </w:tcPr>
          <w:p w14:paraId="511435C1">
            <w:pPr>
              <w:rPr>
                <w:rFonts w:hint="eastAsia" w:ascii="宋体" w:hAnsi="宋体" w:eastAsia="宋体" w:cs="宋体"/>
                <w:color w:val="auto"/>
                <w:sz w:val="24"/>
                <w:highlight w:val="none"/>
              </w:rPr>
            </w:pPr>
          </w:p>
        </w:tc>
        <w:tc>
          <w:tcPr>
            <w:tcW w:w="1340" w:type="dxa"/>
            <w:noWrap w:val="0"/>
            <w:vAlign w:val="top"/>
          </w:tcPr>
          <w:p w14:paraId="75E8CD37">
            <w:pPr>
              <w:rPr>
                <w:rFonts w:hint="eastAsia" w:ascii="宋体" w:hAnsi="宋体" w:eastAsia="宋体" w:cs="宋体"/>
                <w:color w:val="auto"/>
                <w:sz w:val="24"/>
                <w:highlight w:val="none"/>
              </w:rPr>
            </w:pPr>
          </w:p>
        </w:tc>
        <w:tc>
          <w:tcPr>
            <w:tcW w:w="922" w:type="dxa"/>
            <w:noWrap w:val="0"/>
            <w:vAlign w:val="top"/>
          </w:tcPr>
          <w:p w14:paraId="2CC8A5A7">
            <w:pPr>
              <w:rPr>
                <w:rFonts w:hint="eastAsia" w:ascii="宋体" w:hAnsi="宋体" w:eastAsia="宋体" w:cs="宋体"/>
                <w:color w:val="auto"/>
                <w:sz w:val="24"/>
                <w:highlight w:val="none"/>
              </w:rPr>
            </w:pPr>
          </w:p>
        </w:tc>
      </w:tr>
      <w:tr w14:paraId="4FF20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161E9F89">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2205" w:type="dxa"/>
            <w:noWrap w:val="0"/>
            <w:vAlign w:val="top"/>
          </w:tcPr>
          <w:p w14:paraId="5B571316">
            <w:pPr>
              <w:rPr>
                <w:rFonts w:hint="eastAsia" w:ascii="宋体" w:hAnsi="宋体" w:eastAsia="宋体" w:cs="宋体"/>
                <w:color w:val="auto"/>
                <w:sz w:val="24"/>
                <w:highlight w:val="none"/>
              </w:rPr>
            </w:pPr>
          </w:p>
        </w:tc>
        <w:tc>
          <w:tcPr>
            <w:tcW w:w="957" w:type="dxa"/>
            <w:noWrap w:val="0"/>
            <w:vAlign w:val="top"/>
          </w:tcPr>
          <w:p w14:paraId="7EB0A651">
            <w:pPr>
              <w:rPr>
                <w:rFonts w:hint="eastAsia" w:ascii="宋体" w:hAnsi="宋体" w:eastAsia="宋体" w:cs="宋体"/>
                <w:color w:val="auto"/>
                <w:sz w:val="24"/>
                <w:highlight w:val="none"/>
              </w:rPr>
            </w:pPr>
          </w:p>
        </w:tc>
        <w:tc>
          <w:tcPr>
            <w:tcW w:w="840" w:type="dxa"/>
            <w:noWrap w:val="0"/>
            <w:vAlign w:val="top"/>
          </w:tcPr>
          <w:p w14:paraId="57A87317">
            <w:pPr>
              <w:rPr>
                <w:rFonts w:hint="eastAsia" w:ascii="宋体" w:hAnsi="宋体" w:eastAsia="宋体" w:cs="宋体"/>
                <w:color w:val="auto"/>
                <w:sz w:val="24"/>
                <w:highlight w:val="none"/>
              </w:rPr>
            </w:pPr>
          </w:p>
        </w:tc>
        <w:tc>
          <w:tcPr>
            <w:tcW w:w="1260" w:type="dxa"/>
            <w:noWrap w:val="0"/>
            <w:vAlign w:val="top"/>
          </w:tcPr>
          <w:p w14:paraId="4C8C00A1">
            <w:pPr>
              <w:rPr>
                <w:rFonts w:hint="eastAsia" w:ascii="宋体" w:hAnsi="宋体" w:eastAsia="宋体" w:cs="宋体"/>
                <w:color w:val="auto"/>
                <w:sz w:val="24"/>
                <w:highlight w:val="none"/>
              </w:rPr>
            </w:pPr>
          </w:p>
        </w:tc>
        <w:tc>
          <w:tcPr>
            <w:tcW w:w="1340" w:type="dxa"/>
            <w:noWrap w:val="0"/>
            <w:vAlign w:val="top"/>
          </w:tcPr>
          <w:p w14:paraId="603124A0">
            <w:pPr>
              <w:rPr>
                <w:rFonts w:hint="eastAsia" w:ascii="宋体" w:hAnsi="宋体" w:eastAsia="宋体" w:cs="宋体"/>
                <w:color w:val="auto"/>
                <w:sz w:val="24"/>
                <w:highlight w:val="none"/>
              </w:rPr>
            </w:pPr>
          </w:p>
        </w:tc>
        <w:tc>
          <w:tcPr>
            <w:tcW w:w="922" w:type="dxa"/>
            <w:noWrap w:val="0"/>
            <w:vAlign w:val="top"/>
          </w:tcPr>
          <w:p w14:paraId="30219168">
            <w:pPr>
              <w:rPr>
                <w:rFonts w:hint="eastAsia" w:ascii="宋体" w:hAnsi="宋体" w:eastAsia="宋体" w:cs="宋体"/>
                <w:color w:val="auto"/>
                <w:sz w:val="24"/>
                <w:highlight w:val="none"/>
              </w:rPr>
            </w:pPr>
          </w:p>
        </w:tc>
      </w:tr>
      <w:tr w14:paraId="3F07B2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62465094">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2205" w:type="dxa"/>
            <w:noWrap w:val="0"/>
            <w:vAlign w:val="top"/>
          </w:tcPr>
          <w:p w14:paraId="0FE96A43">
            <w:pPr>
              <w:rPr>
                <w:rFonts w:hint="eastAsia" w:ascii="宋体" w:hAnsi="宋体" w:eastAsia="宋体" w:cs="宋体"/>
                <w:color w:val="auto"/>
                <w:sz w:val="24"/>
                <w:highlight w:val="none"/>
              </w:rPr>
            </w:pPr>
          </w:p>
        </w:tc>
        <w:tc>
          <w:tcPr>
            <w:tcW w:w="957" w:type="dxa"/>
            <w:noWrap w:val="0"/>
            <w:vAlign w:val="top"/>
          </w:tcPr>
          <w:p w14:paraId="33F9C1BF">
            <w:pPr>
              <w:rPr>
                <w:rFonts w:hint="eastAsia" w:ascii="宋体" w:hAnsi="宋体" w:eastAsia="宋体" w:cs="宋体"/>
                <w:color w:val="auto"/>
                <w:sz w:val="24"/>
                <w:highlight w:val="none"/>
              </w:rPr>
            </w:pPr>
          </w:p>
        </w:tc>
        <w:tc>
          <w:tcPr>
            <w:tcW w:w="840" w:type="dxa"/>
            <w:noWrap w:val="0"/>
            <w:vAlign w:val="top"/>
          </w:tcPr>
          <w:p w14:paraId="76A72332">
            <w:pPr>
              <w:rPr>
                <w:rFonts w:hint="eastAsia" w:ascii="宋体" w:hAnsi="宋体" w:eastAsia="宋体" w:cs="宋体"/>
                <w:color w:val="auto"/>
                <w:sz w:val="24"/>
                <w:highlight w:val="none"/>
              </w:rPr>
            </w:pPr>
          </w:p>
        </w:tc>
        <w:tc>
          <w:tcPr>
            <w:tcW w:w="1260" w:type="dxa"/>
            <w:noWrap w:val="0"/>
            <w:vAlign w:val="top"/>
          </w:tcPr>
          <w:p w14:paraId="525A550C">
            <w:pPr>
              <w:rPr>
                <w:rFonts w:hint="eastAsia" w:ascii="宋体" w:hAnsi="宋体" w:eastAsia="宋体" w:cs="宋体"/>
                <w:color w:val="auto"/>
                <w:sz w:val="24"/>
                <w:highlight w:val="none"/>
              </w:rPr>
            </w:pPr>
          </w:p>
        </w:tc>
        <w:tc>
          <w:tcPr>
            <w:tcW w:w="1340" w:type="dxa"/>
            <w:noWrap w:val="0"/>
            <w:vAlign w:val="top"/>
          </w:tcPr>
          <w:p w14:paraId="00BCCAF0">
            <w:pPr>
              <w:rPr>
                <w:rFonts w:hint="eastAsia" w:ascii="宋体" w:hAnsi="宋体" w:eastAsia="宋体" w:cs="宋体"/>
                <w:color w:val="auto"/>
                <w:sz w:val="24"/>
                <w:highlight w:val="none"/>
              </w:rPr>
            </w:pPr>
          </w:p>
        </w:tc>
        <w:tc>
          <w:tcPr>
            <w:tcW w:w="922" w:type="dxa"/>
            <w:noWrap w:val="0"/>
            <w:vAlign w:val="top"/>
          </w:tcPr>
          <w:p w14:paraId="4DE2CE8D">
            <w:pPr>
              <w:rPr>
                <w:rFonts w:hint="eastAsia" w:ascii="宋体" w:hAnsi="宋体" w:eastAsia="宋体" w:cs="宋体"/>
                <w:color w:val="auto"/>
                <w:sz w:val="24"/>
                <w:highlight w:val="none"/>
              </w:rPr>
            </w:pPr>
          </w:p>
        </w:tc>
      </w:tr>
      <w:tr w14:paraId="7B3DD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203FF8A0">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p>
        </w:tc>
        <w:tc>
          <w:tcPr>
            <w:tcW w:w="2205" w:type="dxa"/>
            <w:noWrap w:val="0"/>
            <w:vAlign w:val="top"/>
          </w:tcPr>
          <w:p w14:paraId="0AC961BF">
            <w:pPr>
              <w:rPr>
                <w:rFonts w:hint="eastAsia" w:ascii="宋体" w:hAnsi="宋体" w:eastAsia="宋体" w:cs="宋体"/>
                <w:color w:val="auto"/>
                <w:sz w:val="24"/>
                <w:highlight w:val="none"/>
              </w:rPr>
            </w:pPr>
          </w:p>
        </w:tc>
        <w:tc>
          <w:tcPr>
            <w:tcW w:w="957" w:type="dxa"/>
            <w:noWrap w:val="0"/>
            <w:vAlign w:val="top"/>
          </w:tcPr>
          <w:p w14:paraId="7BAA8879">
            <w:pPr>
              <w:rPr>
                <w:rFonts w:hint="eastAsia" w:ascii="宋体" w:hAnsi="宋体" w:eastAsia="宋体" w:cs="宋体"/>
                <w:color w:val="auto"/>
                <w:sz w:val="24"/>
                <w:highlight w:val="none"/>
              </w:rPr>
            </w:pPr>
          </w:p>
        </w:tc>
        <w:tc>
          <w:tcPr>
            <w:tcW w:w="840" w:type="dxa"/>
            <w:noWrap w:val="0"/>
            <w:vAlign w:val="top"/>
          </w:tcPr>
          <w:p w14:paraId="04127840">
            <w:pPr>
              <w:rPr>
                <w:rFonts w:hint="eastAsia" w:ascii="宋体" w:hAnsi="宋体" w:eastAsia="宋体" w:cs="宋体"/>
                <w:color w:val="auto"/>
                <w:sz w:val="24"/>
                <w:highlight w:val="none"/>
              </w:rPr>
            </w:pPr>
          </w:p>
        </w:tc>
        <w:tc>
          <w:tcPr>
            <w:tcW w:w="1260" w:type="dxa"/>
            <w:noWrap w:val="0"/>
            <w:vAlign w:val="top"/>
          </w:tcPr>
          <w:p w14:paraId="60BB3E98">
            <w:pPr>
              <w:rPr>
                <w:rFonts w:hint="eastAsia" w:ascii="宋体" w:hAnsi="宋体" w:eastAsia="宋体" w:cs="宋体"/>
                <w:color w:val="auto"/>
                <w:sz w:val="24"/>
                <w:highlight w:val="none"/>
              </w:rPr>
            </w:pPr>
          </w:p>
        </w:tc>
        <w:tc>
          <w:tcPr>
            <w:tcW w:w="1340" w:type="dxa"/>
            <w:noWrap w:val="0"/>
            <w:vAlign w:val="top"/>
          </w:tcPr>
          <w:p w14:paraId="34DE7983">
            <w:pPr>
              <w:rPr>
                <w:rFonts w:hint="eastAsia" w:ascii="宋体" w:hAnsi="宋体" w:eastAsia="宋体" w:cs="宋体"/>
                <w:color w:val="auto"/>
                <w:sz w:val="24"/>
                <w:highlight w:val="none"/>
              </w:rPr>
            </w:pPr>
          </w:p>
        </w:tc>
        <w:tc>
          <w:tcPr>
            <w:tcW w:w="922" w:type="dxa"/>
            <w:noWrap w:val="0"/>
            <w:vAlign w:val="top"/>
          </w:tcPr>
          <w:p w14:paraId="26D32866">
            <w:pPr>
              <w:rPr>
                <w:rFonts w:hint="eastAsia" w:ascii="宋体" w:hAnsi="宋体" w:eastAsia="宋体" w:cs="宋体"/>
                <w:color w:val="auto"/>
                <w:sz w:val="24"/>
                <w:highlight w:val="none"/>
              </w:rPr>
            </w:pPr>
          </w:p>
        </w:tc>
      </w:tr>
      <w:tr w14:paraId="713FD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54109A03">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6</w:t>
            </w:r>
          </w:p>
        </w:tc>
        <w:tc>
          <w:tcPr>
            <w:tcW w:w="2205" w:type="dxa"/>
            <w:noWrap w:val="0"/>
            <w:vAlign w:val="top"/>
          </w:tcPr>
          <w:p w14:paraId="1A707A03">
            <w:pPr>
              <w:rPr>
                <w:rFonts w:hint="eastAsia" w:ascii="宋体" w:hAnsi="宋体" w:eastAsia="宋体" w:cs="宋体"/>
                <w:color w:val="auto"/>
                <w:sz w:val="24"/>
                <w:highlight w:val="none"/>
              </w:rPr>
            </w:pPr>
          </w:p>
        </w:tc>
        <w:tc>
          <w:tcPr>
            <w:tcW w:w="957" w:type="dxa"/>
            <w:noWrap w:val="0"/>
            <w:vAlign w:val="top"/>
          </w:tcPr>
          <w:p w14:paraId="6BADA8B2">
            <w:pPr>
              <w:rPr>
                <w:rFonts w:hint="eastAsia" w:ascii="宋体" w:hAnsi="宋体" w:eastAsia="宋体" w:cs="宋体"/>
                <w:color w:val="auto"/>
                <w:sz w:val="24"/>
                <w:highlight w:val="none"/>
              </w:rPr>
            </w:pPr>
          </w:p>
        </w:tc>
        <w:tc>
          <w:tcPr>
            <w:tcW w:w="840" w:type="dxa"/>
            <w:noWrap w:val="0"/>
            <w:vAlign w:val="top"/>
          </w:tcPr>
          <w:p w14:paraId="57601831">
            <w:pPr>
              <w:rPr>
                <w:rFonts w:hint="eastAsia" w:ascii="宋体" w:hAnsi="宋体" w:eastAsia="宋体" w:cs="宋体"/>
                <w:color w:val="auto"/>
                <w:sz w:val="24"/>
                <w:highlight w:val="none"/>
              </w:rPr>
            </w:pPr>
          </w:p>
        </w:tc>
        <w:tc>
          <w:tcPr>
            <w:tcW w:w="1260" w:type="dxa"/>
            <w:noWrap w:val="0"/>
            <w:vAlign w:val="top"/>
          </w:tcPr>
          <w:p w14:paraId="152CAB73">
            <w:pPr>
              <w:rPr>
                <w:rFonts w:hint="eastAsia" w:ascii="宋体" w:hAnsi="宋体" w:eastAsia="宋体" w:cs="宋体"/>
                <w:color w:val="auto"/>
                <w:sz w:val="24"/>
                <w:highlight w:val="none"/>
              </w:rPr>
            </w:pPr>
          </w:p>
        </w:tc>
        <w:tc>
          <w:tcPr>
            <w:tcW w:w="1340" w:type="dxa"/>
            <w:noWrap w:val="0"/>
            <w:vAlign w:val="top"/>
          </w:tcPr>
          <w:p w14:paraId="2A0A976C">
            <w:pPr>
              <w:rPr>
                <w:rFonts w:hint="eastAsia" w:ascii="宋体" w:hAnsi="宋体" w:eastAsia="宋体" w:cs="宋体"/>
                <w:color w:val="auto"/>
                <w:sz w:val="24"/>
                <w:highlight w:val="none"/>
              </w:rPr>
            </w:pPr>
          </w:p>
        </w:tc>
        <w:tc>
          <w:tcPr>
            <w:tcW w:w="922" w:type="dxa"/>
            <w:noWrap w:val="0"/>
            <w:vAlign w:val="top"/>
          </w:tcPr>
          <w:p w14:paraId="5662807D">
            <w:pPr>
              <w:rPr>
                <w:rFonts w:hint="eastAsia" w:ascii="宋体" w:hAnsi="宋体" w:eastAsia="宋体" w:cs="宋体"/>
                <w:color w:val="auto"/>
                <w:sz w:val="24"/>
                <w:highlight w:val="none"/>
              </w:rPr>
            </w:pPr>
          </w:p>
        </w:tc>
      </w:tr>
      <w:tr w14:paraId="4D740C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DF9D667">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7</w:t>
            </w:r>
          </w:p>
        </w:tc>
        <w:tc>
          <w:tcPr>
            <w:tcW w:w="2205" w:type="dxa"/>
            <w:noWrap w:val="0"/>
            <w:vAlign w:val="top"/>
          </w:tcPr>
          <w:p w14:paraId="4490CF26">
            <w:pPr>
              <w:rPr>
                <w:rFonts w:hint="eastAsia" w:ascii="宋体" w:hAnsi="宋体" w:eastAsia="宋体" w:cs="宋体"/>
                <w:color w:val="auto"/>
                <w:sz w:val="24"/>
                <w:highlight w:val="none"/>
              </w:rPr>
            </w:pPr>
          </w:p>
        </w:tc>
        <w:tc>
          <w:tcPr>
            <w:tcW w:w="957" w:type="dxa"/>
            <w:noWrap w:val="0"/>
            <w:vAlign w:val="top"/>
          </w:tcPr>
          <w:p w14:paraId="69690F98">
            <w:pPr>
              <w:rPr>
                <w:rFonts w:hint="eastAsia" w:ascii="宋体" w:hAnsi="宋体" w:eastAsia="宋体" w:cs="宋体"/>
                <w:color w:val="auto"/>
                <w:sz w:val="24"/>
                <w:highlight w:val="none"/>
              </w:rPr>
            </w:pPr>
          </w:p>
        </w:tc>
        <w:tc>
          <w:tcPr>
            <w:tcW w:w="840" w:type="dxa"/>
            <w:noWrap w:val="0"/>
            <w:vAlign w:val="top"/>
          </w:tcPr>
          <w:p w14:paraId="20CEA9C8">
            <w:pPr>
              <w:rPr>
                <w:rFonts w:hint="eastAsia" w:ascii="宋体" w:hAnsi="宋体" w:eastAsia="宋体" w:cs="宋体"/>
                <w:color w:val="auto"/>
                <w:sz w:val="24"/>
                <w:highlight w:val="none"/>
              </w:rPr>
            </w:pPr>
          </w:p>
        </w:tc>
        <w:tc>
          <w:tcPr>
            <w:tcW w:w="1260" w:type="dxa"/>
            <w:noWrap w:val="0"/>
            <w:vAlign w:val="top"/>
          </w:tcPr>
          <w:p w14:paraId="0DF1BA07">
            <w:pPr>
              <w:rPr>
                <w:rFonts w:hint="eastAsia" w:ascii="宋体" w:hAnsi="宋体" w:eastAsia="宋体" w:cs="宋体"/>
                <w:color w:val="auto"/>
                <w:sz w:val="24"/>
                <w:highlight w:val="none"/>
              </w:rPr>
            </w:pPr>
          </w:p>
        </w:tc>
        <w:tc>
          <w:tcPr>
            <w:tcW w:w="1340" w:type="dxa"/>
            <w:noWrap w:val="0"/>
            <w:vAlign w:val="top"/>
          </w:tcPr>
          <w:p w14:paraId="3AEB8C24">
            <w:pPr>
              <w:rPr>
                <w:rFonts w:hint="eastAsia" w:ascii="宋体" w:hAnsi="宋体" w:eastAsia="宋体" w:cs="宋体"/>
                <w:color w:val="auto"/>
                <w:sz w:val="24"/>
                <w:highlight w:val="none"/>
              </w:rPr>
            </w:pPr>
          </w:p>
        </w:tc>
        <w:tc>
          <w:tcPr>
            <w:tcW w:w="922" w:type="dxa"/>
            <w:noWrap w:val="0"/>
            <w:vAlign w:val="top"/>
          </w:tcPr>
          <w:p w14:paraId="29AAE909">
            <w:pPr>
              <w:rPr>
                <w:rFonts w:hint="eastAsia" w:ascii="宋体" w:hAnsi="宋体" w:eastAsia="宋体" w:cs="宋体"/>
                <w:color w:val="auto"/>
                <w:sz w:val="24"/>
                <w:highlight w:val="none"/>
              </w:rPr>
            </w:pPr>
          </w:p>
        </w:tc>
      </w:tr>
      <w:tr w14:paraId="5A563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3" w:hRule="atLeast"/>
        </w:trPr>
        <w:tc>
          <w:tcPr>
            <w:tcW w:w="840" w:type="dxa"/>
            <w:noWrap w:val="0"/>
            <w:vAlign w:val="top"/>
          </w:tcPr>
          <w:p w14:paraId="3C8B93E0">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8</w:t>
            </w:r>
          </w:p>
        </w:tc>
        <w:tc>
          <w:tcPr>
            <w:tcW w:w="2205" w:type="dxa"/>
            <w:noWrap w:val="0"/>
            <w:vAlign w:val="top"/>
          </w:tcPr>
          <w:p w14:paraId="58F1D2A4">
            <w:pPr>
              <w:rPr>
                <w:rFonts w:hint="eastAsia" w:ascii="宋体" w:hAnsi="宋体" w:eastAsia="宋体" w:cs="宋体"/>
                <w:color w:val="auto"/>
                <w:sz w:val="24"/>
                <w:highlight w:val="none"/>
              </w:rPr>
            </w:pPr>
          </w:p>
        </w:tc>
        <w:tc>
          <w:tcPr>
            <w:tcW w:w="957" w:type="dxa"/>
            <w:noWrap w:val="0"/>
            <w:vAlign w:val="top"/>
          </w:tcPr>
          <w:p w14:paraId="24776A04">
            <w:pPr>
              <w:rPr>
                <w:rFonts w:hint="eastAsia" w:ascii="宋体" w:hAnsi="宋体" w:eastAsia="宋体" w:cs="宋体"/>
                <w:color w:val="auto"/>
                <w:sz w:val="24"/>
                <w:highlight w:val="none"/>
              </w:rPr>
            </w:pPr>
          </w:p>
        </w:tc>
        <w:tc>
          <w:tcPr>
            <w:tcW w:w="840" w:type="dxa"/>
            <w:noWrap w:val="0"/>
            <w:vAlign w:val="top"/>
          </w:tcPr>
          <w:p w14:paraId="2ECFDC94">
            <w:pPr>
              <w:rPr>
                <w:rFonts w:hint="eastAsia" w:ascii="宋体" w:hAnsi="宋体" w:eastAsia="宋体" w:cs="宋体"/>
                <w:color w:val="auto"/>
                <w:sz w:val="24"/>
                <w:highlight w:val="none"/>
              </w:rPr>
            </w:pPr>
          </w:p>
        </w:tc>
        <w:tc>
          <w:tcPr>
            <w:tcW w:w="1260" w:type="dxa"/>
            <w:noWrap w:val="0"/>
            <w:vAlign w:val="top"/>
          </w:tcPr>
          <w:p w14:paraId="616BB8FA">
            <w:pPr>
              <w:rPr>
                <w:rFonts w:hint="eastAsia" w:ascii="宋体" w:hAnsi="宋体" w:eastAsia="宋体" w:cs="宋体"/>
                <w:color w:val="auto"/>
                <w:sz w:val="24"/>
                <w:highlight w:val="none"/>
              </w:rPr>
            </w:pPr>
          </w:p>
        </w:tc>
        <w:tc>
          <w:tcPr>
            <w:tcW w:w="1340" w:type="dxa"/>
            <w:noWrap w:val="0"/>
            <w:vAlign w:val="top"/>
          </w:tcPr>
          <w:p w14:paraId="2084EEC0">
            <w:pPr>
              <w:rPr>
                <w:rFonts w:hint="eastAsia" w:ascii="宋体" w:hAnsi="宋体" w:eastAsia="宋体" w:cs="宋体"/>
                <w:color w:val="auto"/>
                <w:sz w:val="24"/>
                <w:highlight w:val="none"/>
              </w:rPr>
            </w:pPr>
          </w:p>
        </w:tc>
        <w:tc>
          <w:tcPr>
            <w:tcW w:w="922" w:type="dxa"/>
            <w:noWrap w:val="0"/>
            <w:vAlign w:val="top"/>
          </w:tcPr>
          <w:p w14:paraId="3505A093">
            <w:pPr>
              <w:rPr>
                <w:rFonts w:hint="eastAsia" w:ascii="宋体" w:hAnsi="宋体" w:eastAsia="宋体" w:cs="宋体"/>
                <w:color w:val="auto"/>
                <w:sz w:val="24"/>
                <w:highlight w:val="none"/>
              </w:rPr>
            </w:pPr>
          </w:p>
        </w:tc>
      </w:tr>
      <w:tr w14:paraId="4E961D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5788078C">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9</w:t>
            </w:r>
          </w:p>
        </w:tc>
        <w:tc>
          <w:tcPr>
            <w:tcW w:w="2205" w:type="dxa"/>
            <w:noWrap w:val="0"/>
            <w:vAlign w:val="top"/>
          </w:tcPr>
          <w:p w14:paraId="0D7BC03D">
            <w:pPr>
              <w:rPr>
                <w:rFonts w:hint="eastAsia" w:ascii="宋体" w:hAnsi="宋体" w:eastAsia="宋体" w:cs="宋体"/>
                <w:color w:val="auto"/>
                <w:sz w:val="24"/>
                <w:highlight w:val="none"/>
              </w:rPr>
            </w:pPr>
          </w:p>
        </w:tc>
        <w:tc>
          <w:tcPr>
            <w:tcW w:w="957" w:type="dxa"/>
            <w:noWrap w:val="0"/>
            <w:vAlign w:val="top"/>
          </w:tcPr>
          <w:p w14:paraId="679CFC77">
            <w:pPr>
              <w:rPr>
                <w:rFonts w:hint="eastAsia" w:ascii="宋体" w:hAnsi="宋体" w:eastAsia="宋体" w:cs="宋体"/>
                <w:color w:val="auto"/>
                <w:sz w:val="24"/>
                <w:highlight w:val="none"/>
              </w:rPr>
            </w:pPr>
          </w:p>
        </w:tc>
        <w:tc>
          <w:tcPr>
            <w:tcW w:w="840" w:type="dxa"/>
            <w:noWrap w:val="0"/>
            <w:vAlign w:val="top"/>
          </w:tcPr>
          <w:p w14:paraId="16561C6C">
            <w:pPr>
              <w:rPr>
                <w:rFonts w:hint="eastAsia" w:ascii="宋体" w:hAnsi="宋体" w:eastAsia="宋体" w:cs="宋体"/>
                <w:color w:val="auto"/>
                <w:sz w:val="24"/>
                <w:highlight w:val="none"/>
              </w:rPr>
            </w:pPr>
          </w:p>
        </w:tc>
        <w:tc>
          <w:tcPr>
            <w:tcW w:w="1260" w:type="dxa"/>
            <w:noWrap w:val="0"/>
            <w:vAlign w:val="top"/>
          </w:tcPr>
          <w:p w14:paraId="341A6A0E">
            <w:pPr>
              <w:rPr>
                <w:rFonts w:hint="eastAsia" w:ascii="宋体" w:hAnsi="宋体" w:eastAsia="宋体" w:cs="宋体"/>
                <w:color w:val="auto"/>
                <w:sz w:val="24"/>
                <w:highlight w:val="none"/>
              </w:rPr>
            </w:pPr>
          </w:p>
        </w:tc>
        <w:tc>
          <w:tcPr>
            <w:tcW w:w="1340" w:type="dxa"/>
            <w:noWrap w:val="0"/>
            <w:vAlign w:val="top"/>
          </w:tcPr>
          <w:p w14:paraId="06889394">
            <w:pPr>
              <w:rPr>
                <w:rFonts w:hint="eastAsia" w:ascii="宋体" w:hAnsi="宋体" w:eastAsia="宋体" w:cs="宋体"/>
                <w:color w:val="auto"/>
                <w:sz w:val="24"/>
                <w:highlight w:val="none"/>
              </w:rPr>
            </w:pPr>
          </w:p>
        </w:tc>
        <w:tc>
          <w:tcPr>
            <w:tcW w:w="922" w:type="dxa"/>
            <w:noWrap w:val="0"/>
            <w:vAlign w:val="top"/>
          </w:tcPr>
          <w:p w14:paraId="12F04563">
            <w:pPr>
              <w:rPr>
                <w:rFonts w:hint="eastAsia" w:ascii="宋体" w:hAnsi="宋体" w:eastAsia="宋体" w:cs="宋体"/>
                <w:color w:val="auto"/>
                <w:sz w:val="24"/>
                <w:highlight w:val="none"/>
              </w:rPr>
            </w:pPr>
          </w:p>
        </w:tc>
      </w:tr>
      <w:tr w14:paraId="73CE4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E5602CD">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10</w:t>
            </w:r>
          </w:p>
        </w:tc>
        <w:tc>
          <w:tcPr>
            <w:tcW w:w="2205" w:type="dxa"/>
            <w:noWrap w:val="0"/>
            <w:vAlign w:val="top"/>
          </w:tcPr>
          <w:p w14:paraId="1E46EAE0">
            <w:pPr>
              <w:rPr>
                <w:rFonts w:hint="eastAsia" w:ascii="宋体" w:hAnsi="宋体" w:eastAsia="宋体" w:cs="宋体"/>
                <w:color w:val="auto"/>
                <w:sz w:val="24"/>
                <w:highlight w:val="none"/>
              </w:rPr>
            </w:pPr>
          </w:p>
        </w:tc>
        <w:tc>
          <w:tcPr>
            <w:tcW w:w="957" w:type="dxa"/>
            <w:noWrap w:val="0"/>
            <w:vAlign w:val="top"/>
          </w:tcPr>
          <w:p w14:paraId="0C922C76">
            <w:pPr>
              <w:rPr>
                <w:rFonts w:hint="eastAsia" w:ascii="宋体" w:hAnsi="宋体" w:eastAsia="宋体" w:cs="宋体"/>
                <w:color w:val="auto"/>
                <w:sz w:val="24"/>
                <w:highlight w:val="none"/>
              </w:rPr>
            </w:pPr>
          </w:p>
        </w:tc>
        <w:tc>
          <w:tcPr>
            <w:tcW w:w="840" w:type="dxa"/>
            <w:noWrap w:val="0"/>
            <w:vAlign w:val="top"/>
          </w:tcPr>
          <w:p w14:paraId="4E17AB1A">
            <w:pPr>
              <w:rPr>
                <w:rFonts w:hint="eastAsia" w:ascii="宋体" w:hAnsi="宋体" w:eastAsia="宋体" w:cs="宋体"/>
                <w:color w:val="auto"/>
                <w:sz w:val="24"/>
                <w:highlight w:val="none"/>
              </w:rPr>
            </w:pPr>
          </w:p>
        </w:tc>
        <w:tc>
          <w:tcPr>
            <w:tcW w:w="1260" w:type="dxa"/>
            <w:noWrap w:val="0"/>
            <w:vAlign w:val="top"/>
          </w:tcPr>
          <w:p w14:paraId="386EFE90">
            <w:pPr>
              <w:rPr>
                <w:rFonts w:hint="eastAsia" w:ascii="宋体" w:hAnsi="宋体" w:eastAsia="宋体" w:cs="宋体"/>
                <w:color w:val="auto"/>
                <w:sz w:val="24"/>
                <w:highlight w:val="none"/>
              </w:rPr>
            </w:pPr>
          </w:p>
        </w:tc>
        <w:tc>
          <w:tcPr>
            <w:tcW w:w="1340" w:type="dxa"/>
            <w:noWrap w:val="0"/>
            <w:vAlign w:val="top"/>
          </w:tcPr>
          <w:p w14:paraId="252BCFE6">
            <w:pPr>
              <w:rPr>
                <w:rFonts w:hint="eastAsia" w:ascii="宋体" w:hAnsi="宋体" w:eastAsia="宋体" w:cs="宋体"/>
                <w:color w:val="auto"/>
                <w:sz w:val="24"/>
                <w:highlight w:val="none"/>
              </w:rPr>
            </w:pPr>
          </w:p>
        </w:tc>
        <w:tc>
          <w:tcPr>
            <w:tcW w:w="922" w:type="dxa"/>
            <w:noWrap w:val="0"/>
            <w:vAlign w:val="top"/>
          </w:tcPr>
          <w:p w14:paraId="56EB148D">
            <w:pPr>
              <w:rPr>
                <w:rFonts w:hint="eastAsia" w:ascii="宋体" w:hAnsi="宋体" w:eastAsia="宋体" w:cs="宋体"/>
                <w:color w:val="auto"/>
                <w:sz w:val="24"/>
                <w:highlight w:val="none"/>
              </w:rPr>
            </w:pPr>
          </w:p>
        </w:tc>
      </w:tr>
      <w:tr w14:paraId="6088D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6B460500">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11</w:t>
            </w:r>
          </w:p>
        </w:tc>
        <w:tc>
          <w:tcPr>
            <w:tcW w:w="2205" w:type="dxa"/>
            <w:noWrap w:val="0"/>
            <w:vAlign w:val="top"/>
          </w:tcPr>
          <w:p w14:paraId="474550EF">
            <w:pPr>
              <w:rPr>
                <w:rFonts w:hint="eastAsia" w:ascii="宋体" w:hAnsi="宋体" w:eastAsia="宋体" w:cs="宋体"/>
                <w:color w:val="auto"/>
                <w:sz w:val="24"/>
                <w:highlight w:val="none"/>
              </w:rPr>
            </w:pPr>
          </w:p>
        </w:tc>
        <w:tc>
          <w:tcPr>
            <w:tcW w:w="957" w:type="dxa"/>
            <w:noWrap w:val="0"/>
            <w:vAlign w:val="top"/>
          </w:tcPr>
          <w:p w14:paraId="27089808">
            <w:pPr>
              <w:rPr>
                <w:rFonts w:hint="eastAsia" w:ascii="宋体" w:hAnsi="宋体" w:eastAsia="宋体" w:cs="宋体"/>
                <w:color w:val="auto"/>
                <w:sz w:val="24"/>
                <w:highlight w:val="none"/>
              </w:rPr>
            </w:pPr>
          </w:p>
        </w:tc>
        <w:tc>
          <w:tcPr>
            <w:tcW w:w="840" w:type="dxa"/>
            <w:noWrap w:val="0"/>
            <w:vAlign w:val="top"/>
          </w:tcPr>
          <w:p w14:paraId="6B97DC43">
            <w:pPr>
              <w:rPr>
                <w:rFonts w:hint="eastAsia" w:ascii="宋体" w:hAnsi="宋体" w:eastAsia="宋体" w:cs="宋体"/>
                <w:color w:val="auto"/>
                <w:sz w:val="24"/>
                <w:highlight w:val="none"/>
              </w:rPr>
            </w:pPr>
          </w:p>
        </w:tc>
        <w:tc>
          <w:tcPr>
            <w:tcW w:w="1260" w:type="dxa"/>
            <w:noWrap w:val="0"/>
            <w:vAlign w:val="top"/>
          </w:tcPr>
          <w:p w14:paraId="4FC66E21">
            <w:pPr>
              <w:rPr>
                <w:rFonts w:hint="eastAsia" w:ascii="宋体" w:hAnsi="宋体" w:eastAsia="宋体" w:cs="宋体"/>
                <w:color w:val="auto"/>
                <w:sz w:val="24"/>
                <w:highlight w:val="none"/>
              </w:rPr>
            </w:pPr>
          </w:p>
        </w:tc>
        <w:tc>
          <w:tcPr>
            <w:tcW w:w="1340" w:type="dxa"/>
            <w:noWrap w:val="0"/>
            <w:vAlign w:val="top"/>
          </w:tcPr>
          <w:p w14:paraId="43563859">
            <w:pPr>
              <w:rPr>
                <w:rFonts w:hint="eastAsia" w:ascii="宋体" w:hAnsi="宋体" w:eastAsia="宋体" w:cs="宋体"/>
                <w:color w:val="auto"/>
                <w:sz w:val="24"/>
                <w:highlight w:val="none"/>
              </w:rPr>
            </w:pPr>
          </w:p>
        </w:tc>
        <w:tc>
          <w:tcPr>
            <w:tcW w:w="922" w:type="dxa"/>
            <w:noWrap w:val="0"/>
            <w:vAlign w:val="top"/>
          </w:tcPr>
          <w:p w14:paraId="71542834">
            <w:pPr>
              <w:rPr>
                <w:rFonts w:hint="eastAsia" w:ascii="宋体" w:hAnsi="宋体" w:eastAsia="宋体" w:cs="宋体"/>
                <w:color w:val="auto"/>
                <w:sz w:val="24"/>
                <w:highlight w:val="none"/>
              </w:rPr>
            </w:pPr>
          </w:p>
        </w:tc>
      </w:tr>
      <w:tr w14:paraId="69A68D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774157AB">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12</w:t>
            </w:r>
          </w:p>
        </w:tc>
        <w:tc>
          <w:tcPr>
            <w:tcW w:w="2205" w:type="dxa"/>
            <w:noWrap w:val="0"/>
            <w:vAlign w:val="top"/>
          </w:tcPr>
          <w:p w14:paraId="1BA7604C">
            <w:pPr>
              <w:rPr>
                <w:rFonts w:hint="eastAsia" w:ascii="宋体" w:hAnsi="宋体" w:eastAsia="宋体" w:cs="宋体"/>
                <w:color w:val="auto"/>
                <w:sz w:val="24"/>
                <w:highlight w:val="none"/>
              </w:rPr>
            </w:pPr>
          </w:p>
        </w:tc>
        <w:tc>
          <w:tcPr>
            <w:tcW w:w="957" w:type="dxa"/>
            <w:noWrap w:val="0"/>
            <w:vAlign w:val="top"/>
          </w:tcPr>
          <w:p w14:paraId="44507012">
            <w:pPr>
              <w:rPr>
                <w:rFonts w:hint="eastAsia" w:ascii="宋体" w:hAnsi="宋体" w:eastAsia="宋体" w:cs="宋体"/>
                <w:color w:val="auto"/>
                <w:sz w:val="24"/>
                <w:highlight w:val="none"/>
              </w:rPr>
            </w:pPr>
          </w:p>
        </w:tc>
        <w:tc>
          <w:tcPr>
            <w:tcW w:w="840" w:type="dxa"/>
            <w:noWrap w:val="0"/>
            <w:vAlign w:val="top"/>
          </w:tcPr>
          <w:p w14:paraId="7763A2D9">
            <w:pPr>
              <w:rPr>
                <w:rFonts w:hint="eastAsia" w:ascii="宋体" w:hAnsi="宋体" w:eastAsia="宋体" w:cs="宋体"/>
                <w:color w:val="auto"/>
                <w:sz w:val="24"/>
                <w:highlight w:val="none"/>
              </w:rPr>
            </w:pPr>
          </w:p>
        </w:tc>
        <w:tc>
          <w:tcPr>
            <w:tcW w:w="1260" w:type="dxa"/>
            <w:noWrap w:val="0"/>
            <w:vAlign w:val="top"/>
          </w:tcPr>
          <w:p w14:paraId="3DB1BA4F">
            <w:pPr>
              <w:rPr>
                <w:rFonts w:hint="eastAsia" w:ascii="宋体" w:hAnsi="宋体" w:eastAsia="宋体" w:cs="宋体"/>
                <w:color w:val="auto"/>
                <w:sz w:val="24"/>
                <w:highlight w:val="none"/>
              </w:rPr>
            </w:pPr>
          </w:p>
        </w:tc>
        <w:tc>
          <w:tcPr>
            <w:tcW w:w="1340" w:type="dxa"/>
            <w:noWrap w:val="0"/>
            <w:vAlign w:val="top"/>
          </w:tcPr>
          <w:p w14:paraId="23D039B2">
            <w:pPr>
              <w:rPr>
                <w:rFonts w:hint="eastAsia" w:ascii="宋体" w:hAnsi="宋体" w:eastAsia="宋体" w:cs="宋体"/>
                <w:color w:val="auto"/>
                <w:sz w:val="24"/>
                <w:highlight w:val="none"/>
              </w:rPr>
            </w:pPr>
          </w:p>
        </w:tc>
        <w:tc>
          <w:tcPr>
            <w:tcW w:w="922" w:type="dxa"/>
            <w:noWrap w:val="0"/>
            <w:vAlign w:val="top"/>
          </w:tcPr>
          <w:p w14:paraId="1FF2FF69">
            <w:pPr>
              <w:rPr>
                <w:rFonts w:hint="eastAsia" w:ascii="宋体" w:hAnsi="宋体" w:eastAsia="宋体" w:cs="宋体"/>
                <w:color w:val="auto"/>
                <w:sz w:val="24"/>
                <w:highlight w:val="none"/>
              </w:rPr>
            </w:pPr>
          </w:p>
        </w:tc>
      </w:tr>
      <w:tr w14:paraId="0CA99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4EB843C9">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13</w:t>
            </w:r>
          </w:p>
        </w:tc>
        <w:tc>
          <w:tcPr>
            <w:tcW w:w="2205" w:type="dxa"/>
            <w:noWrap w:val="0"/>
            <w:vAlign w:val="top"/>
          </w:tcPr>
          <w:p w14:paraId="654912B4">
            <w:pPr>
              <w:rPr>
                <w:rFonts w:hint="eastAsia" w:ascii="宋体" w:hAnsi="宋体" w:eastAsia="宋体" w:cs="宋体"/>
                <w:color w:val="auto"/>
                <w:sz w:val="24"/>
                <w:highlight w:val="none"/>
              </w:rPr>
            </w:pPr>
          </w:p>
        </w:tc>
        <w:tc>
          <w:tcPr>
            <w:tcW w:w="957" w:type="dxa"/>
            <w:noWrap w:val="0"/>
            <w:vAlign w:val="top"/>
          </w:tcPr>
          <w:p w14:paraId="7922FD89">
            <w:pPr>
              <w:rPr>
                <w:rFonts w:hint="eastAsia" w:ascii="宋体" w:hAnsi="宋体" w:eastAsia="宋体" w:cs="宋体"/>
                <w:color w:val="auto"/>
                <w:sz w:val="24"/>
                <w:highlight w:val="none"/>
              </w:rPr>
            </w:pPr>
          </w:p>
        </w:tc>
        <w:tc>
          <w:tcPr>
            <w:tcW w:w="840" w:type="dxa"/>
            <w:noWrap w:val="0"/>
            <w:vAlign w:val="top"/>
          </w:tcPr>
          <w:p w14:paraId="65EE4E3C">
            <w:pPr>
              <w:rPr>
                <w:rFonts w:hint="eastAsia" w:ascii="宋体" w:hAnsi="宋体" w:eastAsia="宋体" w:cs="宋体"/>
                <w:color w:val="auto"/>
                <w:sz w:val="24"/>
                <w:highlight w:val="none"/>
              </w:rPr>
            </w:pPr>
          </w:p>
        </w:tc>
        <w:tc>
          <w:tcPr>
            <w:tcW w:w="1260" w:type="dxa"/>
            <w:noWrap w:val="0"/>
            <w:vAlign w:val="top"/>
          </w:tcPr>
          <w:p w14:paraId="1A1E1F27">
            <w:pPr>
              <w:rPr>
                <w:rFonts w:hint="eastAsia" w:ascii="宋体" w:hAnsi="宋体" w:eastAsia="宋体" w:cs="宋体"/>
                <w:color w:val="auto"/>
                <w:sz w:val="24"/>
                <w:highlight w:val="none"/>
              </w:rPr>
            </w:pPr>
          </w:p>
        </w:tc>
        <w:tc>
          <w:tcPr>
            <w:tcW w:w="1340" w:type="dxa"/>
            <w:noWrap w:val="0"/>
            <w:vAlign w:val="top"/>
          </w:tcPr>
          <w:p w14:paraId="585FF34A">
            <w:pPr>
              <w:rPr>
                <w:rFonts w:hint="eastAsia" w:ascii="宋体" w:hAnsi="宋体" w:eastAsia="宋体" w:cs="宋体"/>
                <w:color w:val="auto"/>
                <w:sz w:val="24"/>
                <w:highlight w:val="none"/>
              </w:rPr>
            </w:pPr>
          </w:p>
        </w:tc>
        <w:tc>
          <w:tcPr>
            <w:tcW w:w="922" w:type="dxa"/>
            <w:noWrap w:val="0"/>
            <w:vAlign w:val="top"/>
          </w:tcPr>
          <w:p w14:paraId="59AEB4BD">
            <w:pPr>
              <w:rPr>
                <w:rFonts w:hint="eastAsia" w:ascii="宋体" w:hAnsi="宋体" w:eastAsia="宋体" w:cs="宋体"/>
                <w:color w:val="auto"/>
                <w:sz w:val="24"/>
                <w:highlight w:val="none"/>
              </w:rPr>
            </w:pPr>
          </w:p>
        </w:tc>
      </w:tr>
      <w:tr w14:paraId="1269F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3FF44235">
            <w:pPr>
              <w:jc w:val="center"/>
              <w:rPr>
                <w:rFonts w:hint="eastAsia" w:ascii="宋体" w:hAnsi="宋体" w:eastAsia="宋体" w:cs="宋体"/>
                <w:color w:val="auto"/>
                <w:sz w:val="24"/>
                <w:highlight w:val="none"/>
              </w:rPr>
            </w:pPr>
          </w:p>
        </w:tc>
        <w:tc>
          <w:tcPr>
            <w:tcW w:w="2205" w:type="dxa"/>
            <w:noWrap w:val="0"/>
            <w:vAlign w:val="center"/>
          </w:tcPr>
          <w:p w14:paraId="6CDBE782">
            <w:pPr>
              <w:pStyle w:val="32"/>
              <w:rPr>
                <w:rFonts w:hint="eastAsia" w:ascii="宋体" w:hAnsi="宋体" w:eastAsia="宋体" w:cs="宋体"/>
                <w:color w:val="auto"/>
                <w:highlight w:val="none"/>
              </w:rPr>
            </w:pPr>
            <w:r>
              <w:rPr>
                <w:rFonts w:hint="eastAsia" w:ascii="宋体" w:hAnsi="宋体" w:eastAsia="宋体" w:cs="宋体"/>
                <w:color w:val="auto"/>
                <w:highlight w:val="none"/>
              </w:rPr>
              <w:t>其他费用</w:t>
            </w:r>
          </w:p>
        </w:tc>
        <w:tc>
          <w:tcPr>
            <w:tcW w:w="957" w:type="dxa"/>
            <w:noWrap w:val="0"/>
            <w:vAlign w:val="top"/>
          </w:tcPr>
          <w:p w14:paraId="51241A83">
            <w:pPr>
              <w:rPr>
                <w:rFonts w:hint="eastAsia" w:ascii="宋体" w:hAnsi="宋体" w:eastAsia="宋体" w:cs="宋体"/>
                <w:color w:val="auto"/>
                <w:sz w:val="24"/>
                <w:highlight w:val="none"/>
              </w:rPr>
            </w:pPr>
          </w:p>
        </w:tc>
        <w:tc>
          <w:tcPr>
            <w:tcW w:w="840" w:type="dxa"/>
            <w:noWrap w:val="0"/>
            <w:vAlign w:val="top"/>
          </w:tcPr>
          <w:p w14:paraId="2F4155DD">
            <w:pPr>
              <w:rPr>
                <w:rFonts w:hint="eastAsia" w:ascii="宋体" w:hAnsi="宋体" w:eastAsia="宋体" w:cs="宋体"/>
                <w:color w:val="auto"/>
                <w:sz w:val="24"/>
                <w:highlight w:val="none"/>
              </w:rPr>
            </w:pPr>
          </w:p>
        </w:tc>
        <w:tc>
          <w:tcPr>
            <w:tcW w:w="1260" w:type="dxa"/>
            <w:noWrap w:val="0"/>
            <w:vAlign w:val="top"/>
          </w:tcPr>
          <w:p w14:paraId="11389FA1">
            <w:pPr>
              <w:rPr>
                <w:rFonts w:hint="eastAsia" w:ascii="宋体" w:hAnsi="宋体" w:eastAsia="宋体" w:cs="宋体"/>
                <w:color w:val="auto"/>
                <w:sz w:val="24"/>
                <w:highlight w:val="none"/>
              </w:rPr>
            </w:pPr>
          </w:p>
        </w:tc>
        <w:tc>
          <w:tcPr>
            <w:tcW w:w="1340" w:type="dxa"/>
            <w:noWrap w:val="0"/>
            <w:vAlign w:val="top"/>
          </w:tcPr>
          <w:p w14:paraId="08A2A9E7">
            <w:pPr>
              <w:rPr>
                <w:rFonts w:hint="eastAsia" w:ascii="宋体" w:hAnsi="宋体" w:eastAsia="宋体" w:cs="宋体"/>
                <w:color w:val="auto"/>
                <w:sz w:val="24"/>
                <w:highlight w:val="none"/>
              </w:rPr>
            </w:pPr>
          </w:p>
        </w:tc>
        <w:tc>
          <w:tcPr>
            <w:tcW w:w="922" w:type="dxa"/>
            <w:noWrap w:val="0"/>
            <w:vAlign w:val="top"/>
          </w:tcPr>
          <w:p w14:paraId="4EB7CF76">
            <w:pPr>
              <w:rPr>
                <w:rFonts w:hint="eastAsia" w:ascii="宋体" w:hAnsi="宋体" w:eastAsia="宋体" w:cs="宋体"/>
                <w:color w:val="auto"/>
                <w:sz w:val="24"/>
                <w:highlight w:val="none"/>
              </w:rPr>
            </w:pPr>
          </w:p>
        </w:tc>
      </w:tr>
      <w:tr w14:paraId="17C9F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4" w:hRule="atLeast"/>
        </w:trPr>
        <w:tc>
          <w:tcPr>
            <w:tcW w:w="840" w:type="dxa"/>
            <w:noWrap w:val="0"/>
            <w:vAlign w:val="top"/>
          </w:tcPr>
          <w:p w14:paraId="21654943">
            <w:pPr>
              <w:jc w:val="center"/>
              <w:rPr>
                <w:rFonts w:hint="eastAsia" w:ascii="宋体" w:hAnsi="宋体" w:eastAsia="宋体" w:cs="宋体"/>
                <w:color w:val="auto"/>
                <w:sz w:val="24"/>
                <w:highlight w:val="none"/>
              </w:rPr>
            </w:pPr>
          </w:p>
        </w:tc>
        <w:tc>
          <w:tcPr>
            <w:tcW w:w="2205" w:type="dxa"/>
            <w:noWrap w:val="0"/>
            <w:vAlign w:val="center"/>
          </w:tcPr>
          <w:p w14:paraId="654B6FD1">
            <w:pPr>
              <w:pStyle w:val="32"/>
              <w:rPr>
                <w:rFonts w:hint="eastAsia" w:ascii="宋体" w:hAnsi="宋体" w:eastAsia="宋体" w:cs="宋体"/>
                <w:color w:val="auto"/>
                <w:highlight w:val="none"/>
              </w:rPr>
            </w:pPr>
            <w:r>
              <w:rPr>
                <w:rFonts w:hint="eastAsia" w:ascii="宋体" w:hAnsi="宋体" w:eastAsia="宋体" w:cs="宋体"/>
                <w:color w:val="auto"/>
                <w:highlight w:val="none"/>
              </w:rPr>
              <w:t>合计</w:t>
            </w:r>
          </w:p>
        </w:tc>
        <w:tc>
          <w:tcPr>
            <w:tcW w:w="957" w:type="dxa"/>
            <w:noWrap w:val="0"/>
            <w:vAlign w:val="top"/>
          </w:tcPr>
          <w:p w14:paraId="6F8EA60C">
            <w:pPr>
              <w:rPr>
                <w:rFonts w:hint="eastAsia" w:ascii="宋体" w:hAnsi="宋体" w:eastAsia="宋体" w:cs="宋体"/>
                <w:color w:val="auto"/>
                <w:sz w:val="24"/>
                <w:highlight w:val="none"/>
              </w:rPr>
            </w:pPr>
          </w:p>
        </w:tc>
        <w:tc>
          <w:tcPr>
            <w:tcW w:w="840" w:type="dxa"/>
            <w:noWrap w:val="0"/>
            <w:vAlign w:val="top"/>
          </w:tcPr>
          <w:p w14:paraId="22C53CAA">
            <w:pPr>
              <w:rPr>
                <w:rFonts w:hint="eastAsia" w:ascii="宋体" w:hAnsi="宋体" w:eastAsia="宋体" w:cs="宋体"/>
                <w:color w:val="auto"/>
                <w:sz w:val="24"/>
                <w:highlight w:val="none"/>
              </w:rPr>
            </w:pPr>
          </w:p>
        </w:tc>
        <w:tc>
          <w:tcPr>
            <w:tcW w:w="1260" w:type="dxa"/>
            <w:noWrap w:val="0"/>
            <w:vAlign w:val="top"/>
          </w:tcPr>
          <w:p w14:paraId="7E78876E">
            <w:pPr>
              <w:rPr>
                <w:rFonts w:hint="eastAsia" w:ascii="宋体" w:hAnsi="宋体" w:eastAsia="宋体" w:cs="宋体"/>
                <w:color w:val="auto"/>
                <w:sz w:val="24"/>
                <w:highlight w:val="none"/>
              </w:rPr>
            </w:pPr>
          </w:p>
        </w:tc>
        <w:tc>
          <w:tcPr>
            <w:tcW w:w="1340" w:type="dxa"/>
            <w:noWrap w:val="0"/>
            <w:vAlign w:val="top"/>
          </w:tcPr>
          <w:p w14:paraId="47A64914">
            <w:pPr>
              <w:rPr>
                <w:rFonts w:hint="eastAsia" w:ascii="宋体" w:hAnsi="宋体" w:eastAsia="宋体" w:cs="宋体"/>
                <w:color w:val="auto"/>
                <w:sz w:val="24"/>
                <w:highlight w:val="none"/>
              </w:rPr>
            </w:pPr>
          </w:p>
        </w:tc>
        <w:tc>
          <w:tcPr>
            <w:tcW w:w="922" w:type="dxa"/>
            <w:noWrap w:val="0"/>
            <w:vAlign w:val="top"/>
          </w:tcPr>
          <w:p w14:paraId="5B9E5DEC">
            <w:pPr>
              <w:rPr>
                <w:rFonts w:hint="eastAsia" w:ascii="宋体" w:hAnsi="宋体" w:eastAsia="宋体" w:cs="宋体"/>
                <w:color w:val="auto"/>
                <w:sz w:val="24"/>
                <w:highlight w:val="none"/>
              </w:rPr>
            </w:pPr>
          </w:p>
        </w:tc>
        <w:bookmarkStart w:id="176" w:name="_Hlt514495724"/>
        <w:bookmarkStart w:id="177" w:name="_Hlt533408944"/>
      </w:tr>
      <w:bookmarkEnd w:id="141"/>
      <w:bookmarkEnd w:id="142"/>
      <w:bookmarkEnd w:id="143"/>
      <w:bookmarkEnd w:id="176"/>
      <w:bookmarkEnd w:id="177"/>
    </w:tbl>
    <w:p w14:paraId="7463616B">
      <w:pPr>
        <w:pStyle w:val="14"/>
        <w:spacing w:line="360" w:lineRule="auto"/>
        <w:rPr>
          <w:rFonts w:hint="eastAsia" w:ascii="宋体" w:hAnsi="宋体" w:eastAsia="宋体" w:cs="宋体"/>
          <w:color w:val="auto"/>
          <w:sz w:val="24"/>
          <w:highlight w:val="none"/>
        </w:rPr>
      </w:pPr>
      <w:bookmarkStart w:id="178" w:name="_Toc197934552"/>
      <w:bookmarkStart w:id="179" w:name="_Toc27270_WPSOffice_Level2"/>
    </w:p>
    <w:p w14:paraId="486F2935">
      <w:pPr>
        <w:spacing w:line="380" w:lineRule="exact"/>
        <w:ind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章）</w:t>
      </w:r>
    </w:p>
    <w:p w14:paraId="12E67630">
      <w:pPr>
        <w:spacing w:line="380" w:lineRule="exact"/>
        <w:ind w:right="640" w:firstLine="1560" w:firstLineChars="650"/>
        <w:rPr>
          <w:rFonts w:hint="eastAsia" w:ascii="宋体" w:hAnsi="宋体" w:eastAsia="宋体" w:cs="宋体"/>
          <w:color w:val="auto"/>
          <w:sz w:val="24"/>
          <w:highlight w:val="none"/>
        </w:rPr>
      </w:pPr>
    </w:p>
    <w:p w14:paraId="18BF9649">
      <w:pPr>
        <w:spacing w:line="380" w:lineRule="exact"/>
        <w:ind w:right="640" w:firstLine="3600" w:firstLineChars="1500"/>
        <w:rPr>
          <w:rFonts w:hint="eastAsia" w:ascii="宋体" w:hAnsi="宋体" w:eastAsia="宋体" w:cs="宋体"/>
          <w:color w:val="auto"/>
          <w:sz w:val="24"/>
          <w:highlight w:val="none"/>
        </w:rPr>
      </w:pPr>
      <w:r>
        <w:rPr>
          <w:rFonts w:hint="eastAsia" w:ascii="宋体" w:hAnsi="宋体" w:eastAsia="宋体" w:cs="宋体"/>
          <w:color w:val="auto"/>
          <w:sz w:val="24"/>
          <w:highlight w:val="none"/>
        </w:rPr>
        <w:t>法人代表：（签</w:t>
      </w:r>
      <w:r>
        <w:rPr>
          <w:rFonts w:hint="eastAsia" w:ascii="宋体" w:hAnsi="宋体" w:eastAsia="宋体" w:cs="宋体"/>
          <w:color w:val="auto"/>
          <w:sz w:val="24"/>
          <w:highlight w:val="none"/>
          <w:lang w:val="en-US" w:eastAsia="zh-CN"/>
        </w:rPr>
        <w:t>字</w:t>
      </w:r>
      <w:r>
        <w:rPr>
          <w:rFonts w:hint="eastAsia" w:ascii="宋体" w:hAnsi="宋体" w:eastAsia="宋体" w:cs="宋体"/>
          <w:color w:val="auto"/>
          <w:sz w:val="24"/>
          <w:highlight w:val="none"/>
        </w:rPr>
        <w:t>）</w:t>
      </w:r>
    </w:p>
    <w:p w14:paraId="044ECB17">
      <w:pPr>
        <w:spacing w:line="380" w:lineRule="exact"/>
        <w:jc w:val="center"/>
        <w:rPr>
          <w:rFonts w:hint="eastAsia" w:ascii="宋体" w:hAnsi="宋体" w:eastAsia="宋体" w:cs="宋体"/>
          <w:color w:val="auto"/>
          <w:sz w:val="24"/>
          <w:highlight w:val="none"/>
        </w:rPr>
      </w:pPr>
    </w:p>
    <w:p w14:paraId="37769022">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日期：      年   月    日</w:t>
      </w:r>
    </w:p>
    <w:p w14:paraId="6EE0396F">
      <w:pPr>
        <w:adjustRightInd w:val="0"/>
        <w:snapToGrid w:val="0"/>
        <w:spacing w:line="360" w:lineRule="auto"/>
        <w:rPr>
          <w:rFonts w:hint="eastAsia" w:ascii="宋体" w:hAnsi="宋体" w:eastAsia="宋体" w:cs="宋体"/>
          <w:b/>
          <w:bCs/>
          <w:color w:val="auto"/>
          <w:sz w:val="24"/>
          <w:szCs w:val="28"/>
          <w:highlight w:val="none"/>
        </w:rPr>
      </w:pPr>
      <w:r>
        <w:rPr>
          <w:rFonts w:hint="eastAsia" w:ascii="宋体" w:hAnsi="宋体" w:eastAsia="宋体" w:cs="宋体"/>
          <w:b/>
          <w:bCs/>
          <w:color w:val="auto"/>
          <w:sz w:val="24"/>
          <w:szCs w:val="28"/>
          <w:highlight w:val="none"/>
        </w:rPr>
        <w:t>备注：</w:t>
      </w:r>
    </w:p>
    <w:p w14:paraId="7F7E500F">
      <w:pPr>
        <w:adjustRightInd w:val="0"/>
        <w:snapToGrid w:val="0"/>
        <w:spacing w:line="360" w:lineRule="auto"/>
        <w:rPr>
          <w:rFonts w:hint="eastAsia" w:ascii="宋体" w:hAnsi="宋体" w:eastAsia="宋体" w:cs="宋体"/>
          <w:b/>
          <w:bCs/>
          <w:color w:val="auto"/>
          <w:sz w:val="24"/>
          <w:szCs w:val="28"/>
          <w:highlight w:val="none"/>
        </w:rPr>
      </w:pPr>
      <w:r>
        <w:rPr>
          <w:rFonts w:hint="eastAsia" w:ascii="宋体" w:hAnsi="宋体" w:eastAsia="宋体" w:cs="宋体"/>
          <w:b/>
          <w:bCs/>
          <w:color w:val="auto"/>
          <w:sz w:val="24"/>
          <w:szCs w:val="28"/>
          <w:highlight w:val="none"/>
        </w:rPr>
        <w:t>报价为所投服务的单价组成。包括税金及其它。</w:t>
      </w:r>
    </w:p>
    <w:p w14:paraId="10D487EE">
      <w:pPr>
        <w:pStyle w:val="17"/>
        <w:rPr>
          <w:rFonts w:hint="eastAsia" w:ascii="宋体" w:hAnsi="宋体" w:eastAsia="宋体" w:cs="宋体"/>
          <w:color w:val="auto"/>
          <w:highlight w:val="none"/>
        </w:rPr>
      </w:pPr>
    </w:p>
    <w:p w14:paraId="1313369A">
      <w:pPr>
        <w:pStyle w:val="17"/>
        <w:rPr>
          <w:rFonts w:hint="eastAsia" w:ascii="宋体" w:hAnsi="宋体" w:eastAsia="宋体" w:cs="宋体"/>
          <w:color w:val="auto"/>
          <w:highlight w:val="none"/>
        </w:rPr>
      </w:pPr>
    </w:p>
    <w:p w14:paraId="5657123A">
      <w:pPr>
        <w:pStyle w:val="17"/>
        <w:rPr>
          <w:rFonts w:hint="eastAsia" w:ascii="宋体" w:hAnsi="宋体" w:eastAsia="宋体" w:cs="宋体"/>
          <w:color w:val="auto"/>
          <w:highlight w:val="none"/>
        </w:rPr>
      </w:pPr>
    </w:p>
    <w:p w14:paraId="1CB05037">
      <w:pPr>
        <w:pStyle w:val="17"/>
        <w:rPr>
          <w:rFonts w:hint="eastAsia" w:ascii="宋体" w:hAnsi="宋体" w:eastAsia="宋体" w:cs="宋体"/>
          <w:color w:val="auto"/>
          <w:highlight w:val="none"/>
        </w:rPr>
      </w:pPr>
    </w:p>
    <w:p w14:paraId="19A8C417">
      <w:pPr>
        <w:pStyle w:val="17"/>
        <w:rPr>
          <w:rFonts w:hint="eastAsia" w:ascii="宋体" w:hAnsi="宋体" w:eastAsia="宋体" w:cs="宋体"/>
          <w:color w:val="auto"/>
          <w:highlight w:val="none"/>
        </w:rPr>
      </w:pPr>
    </w:p>
    <w:p w14:paraId="21EB2D9B">
      <w:pPr>
        <w:pStyle w:val="17"/>
        <w:rPr>
          <w:rFonts w:hint="eastAsia" w:ascii="宋体" w:hAnsi="宋体" w:eastAsia="宋体" w:cs="宋体"/>
          <w:color w:val="auto"/>
          <w:highlight w:val="none"/>
        </w:rPr>
      </w:pPr>
    </w:p>
    <w:p w14:paraId="0CAD723D">
      <w:pPr>
        <w:pStyle w:val="17"/>
        <w:rPr>
          <w:rFonts w:hint="eastAsia" w:ascii="宋体" w:hAnsi="宋体" w:eastAsia="宋体" w:cs="宋体"/>
          <w:color w:val="auto"/>
          <w:highlight w:val="none"/>
        </w:rPr>
      </w:pPr>
    </w:p>
    <w:p w14:paraId="29E1A326">
      <w:pPr>
        <w:pStyle w:val="6"/>
        <w:rPr>
          <w:rFonts w:hint="eastAsia" w:ascii="宋体" w:hAnsi="宋体" w:eastAsia="宋体" w:cs="宋体"/>
          <w:color w:val="auto"/>
          <w:sz w:val="28"/>
          <w:highlight w:val="none"/>
        </w:rPr>
      </w:pPr>
      <w:bookmarkStart w:id="180" w:name="_Toc22823"/>
      <w:bookmarkStart w:id="181" w:name="_Toc40975453"/>
      <w:bookmarkStart w:id="182" w:name="_Toc3380"/>
      <w:bookmarkStart w:id="183" w:name="_Toc30168"/>
      <w:r>
        <w:rPr>
          <w:rFonts w:hint="eastAsia" w:ascii="宋体" w:hAnsi="宋体" w:eastAsia="宋体" w:cs="宋体"/>
          <w:color w:val="auto"/>
          <w:sz w:val="28"/>
          <w:highlight w:val="none"/>
        </w:rPr>
        <w:t>五．投标响应表</w:t>
      </w:r>
      <w:bookmarkEnd w:id="178"/>
      <w:bookmarkEnd w:id="179"/>
      <w:bookmarkEnd w:id="180"/>
      <w:bookmarkEnd w:id="181"/>
      <w:bookmarkEnd w:id="182"/>
      <w:bookmarkEnd w:id="183"/>
    </w:p>
    <w:tbl>
      <w:tblPr>
        <w:tblStyle w:val="23"/>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0"/>
        <w:gridCol w:w="1470"/>
        <w:gridCol w:w="2520"/>
        <w:gridCol w:w="2310"/>
        <w:gridCol w:w="1224"/>
      </w:tblGrid>
      <w:tr w14:paraId="212CD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4830" w:type="dxa"/>
            <w:gridSpan w:val="3"/>
            <w:noWrap w:val="0"/>
            <w:vAlign w:val="center"/>
          </w:tcPr>
          <w:p w14:paraId="150CFC01">
            <w:pPr>
              <w:pStyle w:val="13"/>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按招标文件规定填写</w:t>
            </w:r>
          </w:p>
        </w:tc>
        <w:tc>
          <w:tcPr>
            <w:tcW w:w="3534" w:type="dxa"/>
            <w:gridSpan w:val="2"/>
            <w:noWrap w:val="0"/>
            <w:vAlign w:val="center"/>
          </w:tcPr>
          <w:p w14:paraId="41EDF472">
            <w:pPr>
              <w:pStyle w:val="13"/>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按投标人所投内容填写</w:t>
            </w:r>
          </w:p>
        </w:tc>
      </w:tr>
      <w:tr w14:paraId="52D15F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5" w:hRule="atLeast"/>
        </w:trPr>
        <w:tc>
          <w:tcPr>
            <w:tcW w:w="8364" w:type="dxa"/>
            <w:gridSpan w:val="5"/>
            <w:noWrap w:val="0"/>
            <w:vAlign w:val="center"/>
          </w:tcPr>
          <w:p w14:paraId="5A9FACA1">
            <w:pPr>
              <w:pStyle w:val="13"/>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第一部分：技术部分响应</w:t>
            </w:r>
          </w:p>
        </w:tc>
      </w:tr>
      <w:tr w14:paraId="4C38A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82" w:hRule="atLeast"/>
        </w:trPr>
        <w:tc>
          <w:tcPr>
            <w:tcW w:w="840" w:type="dxa"/>
            <w:noWrap w:val="0"/>
            <w:vAlign w:val="center"/>
          </w:tcPr>
          <w:p w14:paraId="42EAA355">
            <w:pPr>
              <w:pStyle w:val="13"/>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序号</w:t>
            </w:r>
          </w:p>
        </w:tc>
        <w:tc>
          <w:tcPr>
            <w:tcW w:w="1470" w:type="dxa"/>
            <w:noWrap w:val="0"/>
            <w:vAlign w:val="center"/>
          </w:tcPr>
          <w:p w14:paraId="567A5BA5">
            <w:pPr>
              <w:pStyle w:val="13"/>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品名</w:t>
            </w:r>
          </w:p>
        </w:tc>
        <w:tc>
          <w:tcPr>
            <w:tcW w:w="2520" w:type="dxa"/>
            <w:noWrap w:val="0"/>
            <w:vAlign w:val="center"/>
          </w:tcPr>
          <w:p w14:paraId="5881491C">
            <w:pPr>
              <w:pStyle w:val="13"/>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招标文件要求</w:t>
            </w:r>
          </w:p>
        </w:tc>
        <w:tc>
          <w:tcPr>
            <w:tcW w:w="2310" w:type="dxa"/>
            <w:noWrap w:val="0"/>
            <w:vAlign w:val="center"/>
          </w:tcPr>
          <w:p w14:paraId="1E7B9238">
            <w:pPr>
              <w:pStyle w:val="13"/>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投标响应</w:t>
            </w:r>
          </w:p>
          <w:p w14:paraId="1A4DDFED">
            <w:pPr>
              <w:pStyle w:val="13"/>
              <w:rPr>
                <w:rFonts w:hint="eastAsia" w:ascii="宋体" w:hAnsi="宋体" w:eastAsia="宋体" w:cs="宋体"/>
                <w:b/>
                <w:color w:val="auto"/>
                <w:sz w:val="24"/>
                <w:highlight w:val="none"/>
                <w:lang w:val="en-US" w:eastAsia="zh-CN"/>
              </w:rPr>
            </w:pPr>
          </w:p>
        </w:tc>
        <w:tc>
          <w:tcPr>
            <w:tcW w:w="1224" w:type="dxa"/>
            <w:noWrap w:val="0"/>
            <w:vAlign w:val="center"/>
          </w:tcPr>
          <w:p w14:paraId="42436F3A">
            <w:pPr>
              <w:pStyle w:val="13"/>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偏离说明</w:t>
            </w:r>
          </w:p>
        </w:tc>
      </w:tr>
      <w:tr w14:paraId="1B1D2E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6C5B06AD">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1470" w:type="dxa"/>
            <w:noWrap w:val="0"/>
            <w:vAlign w:val="top"/>
          </w:tcPr>
          <w:p w14:paraId="24F58C43">
            <w:pPr>
              <w:rPr>
                <w:rFonts w:hint="eastAsia" w:ascii="宋体" w:hAnsi="宋体" w:eastAsia="宋体" w:cs="宋体"/>
                <w:color w:val="auto"/>
                <w:sz w:val="24"/>
                <w:highlight w:val="none"/>
              </w:rPr>
            </w:pPr>
          </w:p>
        </w:tc>
        <w:tc>
          <w:tcPr>
            <w:tcW w:w="2520" w:type="dxa"/>
            <w:noWrap w:val="0"/>
            <w:vAlign w:val="top"/>
          </w:tcPr>
          <w:p w14:paraId="3CA559CD">
            <w:pPr>
              <w:rPr>
                <w:rFonts w:hint="eastAsia" w:ascii="宋体" w:hAnsi="宋体" w:eastAsia="宋体" w:cs="宋体"/>
                <w:color w:val="auto"/>
                <w:sz w:val="24"/>
                <w:highlight w:val="none"/>
              </w:rPr>
            </w:pPr>
          </w:p>
        </w:tc>
        <w:tc>
          <w:tcPr>
            <w:tcW w:w="2310" w:type="dxa"/>
            <w:noWrap w:val="0"/>
            <w:vAlign w:val="top"/>
          </w:tcPr>
          <w:p w14:paraId="152D8A07">
            <w:pPr>
              <w:rPr>
                <w:rFonts w:hint="eastAsia" w:ascii="宋体" w:hAnsi="宋体" w:eastAsia="宋体" w:cs="宋体"/>
                <w:color w:val="auto"/>
                <w:sz w:val="24"/>
                <w:highlight w:val="none"/>
              </w:rPr>
            </w:pPr>
          </w:p>
        </w:tc>
        <w:tc>
          <w:tcPr>
            <w:tcW w:w="1224" w:type="dxa"/>
            <w:noWrap w:val="0"/>
            <w:vAlign w:val="top"/>
          </w:tcPr>
          <w:p w14:paraId="324E6D82">
            <w:pPr>
              <w:rPr>
                <w:rFonts w:hint="eastAsia" w:ascii="宋体" w:hAnsi="宋体" w:eastAsia="宋体" w:cs="宋体"/>
                <w:color w:val="auto"/>
                <w:sz w:val="24"/>
                <w:highlight w:val="none"/>
              </w:rPr>
            </w:pPr>
          </w:p>
        </w:tc>
      </w:tr>
      <w:tr w14:paraId="675205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4C164ECE">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1470" w:type="dxa"/>
            <w:noWrap w:val="0"/>
            <w:vAlign w:val="top"/>
          </w:tcPr>
          <w:p w14:paraId="056AEE21">
            <w:pPr>
              <w:rPr>
                <w:rFonts w:hint="eastAsia" w:ascii="宋体" w:hAnsi="宋体" w:eastAsia="宋体" w:cs="宋体"/>
                <w:color w:val="auto"/>
                <w:sz w:val="24"/>
                <w:highlight w:val="none"/>
              </w:rPr>
            </w:pPr>
          </w:p>
        </w:tc>
        <w:tc>
          <w:tcPr>
            <w:tcW w:w="2520" w:type="dxa"/>
            <w:noWrap w:val="0"/>
            <w:vAlign w:val="top"/>
          </w:tcPr>
          <w:p w14:paraId="7413ED0F">
            <w:pPr>
              <w:rPr>
                <w:rFonts w:hint="eastAsia" w:ascii="宋体" w:hAnsi="宋体" w:eastAsia="宋体" w:cs="宋体"/>
                <w:color w:val="auto"/>
                <w:sz w:val="24"/>
                <w:highlight w:val="none"/>
              </w:rPr>
            </w:pPr>
          </w:p>
        </w:tc>
        <w:tc>
          <w:tcPr>
            <w:tcW w:w="2310" w:type="dxa"/>
            <w:noWrap w:val="0"/>
            <w:vAlign w:val="top"/>
          </w:tcPr>
          <w:p w14:paraId="3D33E4FE">
            <w:pPr>
              <w:rPr>
                <w:rFonts w:hint="eastAsia" w:ascii="宋体" w:hAnsi="宋体" w:eastAsia="宋体" w:cs="宋体"/>
                <w:color w:val="auto"/>
                <w:sz w:val="24"/>
                <w:highlight w:val="none"/>
              </w:rPr>
            </w:pPr>
          </w:p>
        </w:tc>
        <w:tc>
          <w:tcPr>
            <w:tcW w:w="1224" w:type="dxa"/>
            <w:noWrap w:val="0"/>
            <w:vAlign w:val="top"/>
          </w:tcPr>
          <w:p w14:paraId="222D52DB">
            <w:pPr>
              <w:rPr>
                <w:rFonts w:hint="eastAsia" w:ascii="宋体" w:hAnsi="宋体" w:eastAsia="宋体" w:cs="宋体"/>
                <w:color w:val="auto"/>
                <w:sz w:val="24"/>
                <w:highlight w:val="none"/>
              </w:rPr>
            </w:pPr>
          </w:p>
        </w:tc>
      </w:tr>
      <w:tr w14:paraId="32F8B2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1ACD4E5E">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1470" w:type="dxa"/>
            <w:noWrap w:val="0"/>
            <w:vAlign w:val="top"/>
          </w:tcPr>
          <w:p w14:paraId="565E6702">
            <w:pPr>
              <w:rPr>
                <w:rFonts w:hint="eastAsia" w:ascii="宋体" w:hAnsi="宋体" w:eastAsia="宋体" w:cs="宋体"/>
                <w:color w:val="auto"/>
                <w:sz w:val="24"/>
                <w:highlight w:val="none"/>
              </w:rPr>
            </w:pPr>
          </w:p>
        </w:tc>
        <w:tc>
          <w:tcPr>
            <w:tcW w:w="2520" w:type="dxa"/>
            <w:noWrap w:val="0"/>
            <w:vAlign w:val="top"/>
          </w:tcPr>
          <w:p w14:paraId="1E2446C3">
            <w:pPr>
              <w:rPr>
                <w:rFonts w:hint="eastAsia" w:ascii="宋体" w:hAnsi="宋体" w:eastAsia="宋体" w:cs="宋体"/>
                <w:color w:val="auto"/>
                <w:sz w:val="24"/>
                <w:highlight w:val="none"/>
              </w:rPr>
            </w:pPr>
          </w:p>
        </w:tc>
        <w:tc>
          <w:tcPr>
            <w:tcW w:w="2310" w:type="dxa"/>
            <w:noWrap w:val="0"/>
            <w:vAlign w:val="top"/>
          </w:tcPr>
          <w:p w14:paraId="3C858E56">
            <w:pPr>
              <w:pStyle w:val="32"/>
              <w:rPr>
                <w:rFonts w:hint="eastAsia" w:ascii="宋体" w:hAnsi="宋体" w:eastAsia="宋体" w:cs="宋体"/>
                <w:color w:val="auto"/>
                <w:highlight w:val="none"/>
              </w:rPr>
            </w:pPr>
          </w:p>
        </w:tc>
        <w:tc>
          <w:tcPr>
            <w:tcW w:w="1224" w:type="dxa"/>
            <w:noWrap w:val="0"/>
            <w:vAlign w:val="top"/>
          </w:tcPr>
          <w:p w14:paraId="79AB7073">
            <w:pPr>
              <w:rPr>
                <w:rFonts w:hint="eastAsia" w:ascii="宋体" w:hAnsi="宋体" w:eastAsia="宋体" w:cs="宋体"/>
                <w:color w:val="auto"/>
                <w:sz w:val="24"/>
                <w:highlight w:val="none"/>
              </w:rPr>
            </w:pPr>
          </w:p>
        </w:tc>
      </w:tr>
      <w:tr w14:paraId="68CD9E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413A97E3">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1470" w:type="dxa"/>
            <w:noWrap w:val="0"/>
            <w:vAlign w:val="top"/>
          </w:tcPr>
          <w:p w14:paraId="68253687">
            <w:pPr>
              <w:rPr>
                <w:rFonts w:hint="eastAsia" w:ascii="宋体" w:hAnsi="宋体" w:eastAsia="宋体" w:cs="宋体"/>
                <w:color w:val="auto"/>
                <w:sz w:val="24"/>
                <w:highlight w:val="none"/>
              </w:rPr>
            </w:pPr>
          </w:p>
        </w:tc>
        <w:tc>
          <w:tcPr>
            <w:tcW w:w="2520" w:type="dxa"/>
            <w:noWrap w:val="0"/>
            <w:vAlign w:val="top"/>
          </w:tcPr>
          <w:p w14:paraId="5B1FEFAF">
            <w:pPr>
              <w:rPr>
                <w:rFonts w:hint="eastAsia" w:ascii="宋体" w:hAnsi="宋体" w:eastAsia="宋体" w:cs="宋体"/>
                <w:color w:val="auto"/>
                <w:sz w:val="24"/>
                <w:highlight w:val="none"/>
              </w:rPr>
            </w:pPr>
          </w:p>
        </w:tc>
        <w:tc>
          <w:tcPr>
            <w:tcW w:w="2310" w:type="dxa"/>
            <w:noWrap w:val="0"/>
            <w:vAlign w:val="top"/>
          </w:tcPr>
          <w:p w14:paraId="54289F04">
            <w:pPr>
              <w:rPr>
                <w:rFonts w:hint="eastAsia" w:ascii="宋体" w:hAnsi="宋体" w:eastAsia="宋体" w:cs="宋体"/>
                <w:color w:val="auto"/>
                <w:sz w:val="24"/>
                <w:highlight w:val="none"/>
              </w:rPr>
            </w:pPr>
          </w:p>
        </w:tc>
        <w:tc>
          <w:tcPr>
            <w:tcW w:w="1224" w:type="dxa"/>
            <w:noWrap w:val="0"/>
            <w:vAlign w:val="top"/>
          </w:tcPr>
          <w:p w14:paraId="567ADA81">
            <w:pPr>
              <w:rPr>
                <w:rFonts w:hint="eastAsia" w:ascii="宋体" w:hAnsi="宋体" w:eastAsia="宋体" w:cs="宋体"/>
                <w:color w:val="auto"/>
                <w:sz w:val="24"/>
                <w:highlight w:val="none"/>
              </w:rPr>
            </w:pPr>
          </w:p>
        </w:tc>
      </w:tr>
      <w:tr w14:paraId="4166B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364" w:type="dxa"/>
            <w:gridSpan w:val="5"/>
            <w:noWrap w:val="0"/>
            <w:vAlign w:val="center"/>
          </w:tcPr>
          <w:p w14:paraId="66024D0E">
            <w:pPr>
              <w:pStyle w:val="13"/>
              <w:jc w:val="center"/>
              <w:rPr>
                <w:rFonts w:hint="eastAsia" w:ascii="宋体" w:hAnsi="宋体" w:eastAsia="宋体" w:cs="宋体"/>
                <w:color w:val="auto"/>
                <w:sz w:val="24"/>
                <w:highlight w:val="none"/>
                <w:lang w:val="en-US" w:eastAsia="zh-CN"/>
              </w:rPr>
            </w:pPr>
            <w:r>
              <w:rPr>
                <w:rFonts w:hint="eastAsia" w:ascii="宋体" w:hAnsi="宋体" w:eastAsia="宋体" w:cs="宋体"/>
                <w:b/>
                <w:color w:val="auto"/>
                <w:sz w:val="24"/>
                <w:highlight w:val="none"/>
                <w:lang w:val="en-US" w:eastAsia="zh-CN"/>
              </w:rPr>
              <w:t>第二部分：资信及报价部分响应</w:t>
            </w:r>
          </w:p>
        </w:tc>
      </w:tr>
      <w:tr w14:paraId="4B216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6FF3CD8">
            <w:pPr>
              <w:pStyle w:val="13"/>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序号</w:t>
            </w:r>
          </w:p>
        </w:tc>
        <w:tc>
          <w:tcPr>
            <w:tcW w:w="1470" w:type="dxa"/>
            <w:noWrap w:val="0"/>
            <w:vAlign w:val="center"/>
          </w:tcPr>
          <w:p w14:paraId="4E149D3E">
            <w:pPr>
              <w:pStyle w:val="13"/>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内容</w:t>
            </w:r>
          </w:p>
        </w:tc>
        <w:tc>
          <w:tcPr>
            <w:tcW w:w="2520" w:type="dxa"/>
            <w:noWrap w:val="0"/>
            <w:vAlign w:val="center"/>
          </w:tcPr>
          <w:p w14:paraId="2CC65C54">
            <w:pPr>
              <w:pStyle w:val="13"/>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招标要求</w:t>
            </w:r>
          </w:p>
        </w:tc>
        <w:tc>
          <w:tcPr>
            <w:tcW w:w="2310" w:type="dxa"/>
            <w:noWrap w:val="0"/>
            <w:vAlign w:val="center"/>
          </w:tcPr>
          <w:p w14:paraId="7A7DA157">
            <w:pPr>
              <w:pStyle w:val="13"/>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投标承诺</w:t>
            </w:r>
          </w:p>
        </w:tc>
        <w:tc>
          <w:tcPr>
            <w:tcW w:w="1224" w:type="dxa"/>
            <w:noWrap w:val="0"/>
            <w:vAlign w:val="center"/>
          </w:tcPr>
          <w:p w14:paraId="2808FE16">
            <w:pPr>
              <w:pStyle w:val="13"/>
              <w:jc w:val="center"/>
              <w:rPr>
                <w:rFonts w:hint="eastAsia" w:ascii="宋体" w:hAnsi="宋体" w:eastAsia="宋体" w:cs="宋体"/>
                <w:b/>
                <w:color w:val="auto"/>
                <w:sz w:val="24"/>
                <w:highlight w:val="none"/>
                <w:lang w:val="en-US" w:eastAsia="zh-CN"/>
              </w:rPr>
            </w:pPr>
            <w:r>
              <w:rPr>
                <w:rFonts w:hint="eastAsia" w:ascii="宋体" w:hAnsi="宋体" w:eastAsia="宋体" w:cs="宋体"/>
                <w:b/>
                <w:color w:val="auto"/>
                <w:sz w:val="24"/>
                <w:highlight w:val="none"/>
                <w:lang w:val="en-US" w:eastAsia="zh-CN"/>
              </w:rPr>
              <w:t>偏离说明</w:t>
            </w:r>
          </w:p>
        </w:tc>
      </w:tr>
      <w:tr w14:paraId="259F5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0BE4B181">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1470" w:type="dxa"/>
            <w:noWrap w:val="0"/>
            <w:vAlign w:val="center"/>
          </w:tcPr>
          <w:p w14:paraId="1166891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供货期</w:t>
            </w:r>
          </w:p>
        </w:tc>
        <w:tc>
          <w:tcPr>
            <w:tcW w:w="2520" w:type="dxa"/>
            <w:noWrap w:val="0"/>
            <w:vAlign w:val="top"/>
          </w:tcPr>
          <w:p w14:paraId="49CC755A">
            <w:pPr>
              <w:rPr>
                <w:rFonts w:hint="eastAsia" w:ascii="宋体" w:hAnsi="宋体" w:eastAsia="宋体" w:cs="宋体"/>
                <w:color w:val="auto"/>
                <w:sz w:val="24"/>
                <w:highlight w:val="none"/>
              </w:rPr>
            </w:pPr>
          </w:p>
        </w:tc>
        <w:tc>
          <w:tcPr>
            <w:tcW w:w="2310" w:type="dxa"/>
            <w:noWrap w:val="0"/>
            <w:vAlign w:val="top"/>
          </w:tcPr>
          <w:p w14:paraId="5041C466">
            <w:pPr>
              <w:rPr>
                <w:rFonts w:hint="eastAsia" w:ascii="宋体" w:hAnsi="宋体" w:eastAsia="宋体" w:cs="宋体"/>
                <w:color w:val="auto"/>
                <w:sz w:val="24"/>
                <w:highlight w:val="none"/>
              </w:rPr>
            </w:pPr>
          </w:p>
        </w:tc>
        <w:tc>
          <w:tcPr>
            <w:tcW w:w="1224" w:type="dxa"/>
            <w:noWrap w:val="0"/>
            <w:vAlign w:val="top"/>
          </w:tcPr>
          <w:p w14:paraId="35D54A4A">
            <w:pPr>
              <w:rPr>
                <w:rFonts w:hint="eastAsia" w:ascii="宋体" w:hAnsi="宋体" w:eastAsia="宋体" w:cs="宋体"/>
                <w:color w:val="auto"/>
                <w:sz w:val="24"/>
                <w:highlight w:val="none"/>
              </w:rPr>
            </w:pPr>
          </w:p>
        </w:tc>
      </w:tr>
      <w:tr w14:paraId="599E8E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362AFF1C">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1470" w:type="dxa"/>
            <w:noWrap w:val="0"/>
            <w:vAlign w:val="center"/>
          </w:tcPr>
          <w:p w14:paraId="3D3F6A3F">
            <w:pPr>
              <w:rPr>
                <w:rFonts w:hint="eastAsia" w:ascii="宋体" w:hAnsi="宋体" w:eastAsia="宋体" w:cs="宋体"/>
                <w:color w:val="auto"/>
                <w:sz w:val="24"/>
                <w:highlight w:val="none"/>
              </w:rPr>
            </w:pPr>
            <w:r>
              <w:rPr>
                <w:rFonts w:hint="eastAsia" w:ascii="宋体" w:hAnsi="宋体" w:eastAsia="宋体" w:cs="宋体"/>
                <w:color w:val="auto"/>
                <w:sz w:val="24"/>
                <w:highlight w:val="none"/>
              </w:rPr>
              <w:t>免费质保期</w:t>
            </w:r>
          </w:p>
        </w:tc>
        <w:tc>
          <w:tcPr>
            <w:tcW w:w="2520" w:type="dxa"/>
            <w:noWrap w:val="0"/>
            <w:vAlign w:val="top"/>
          </w:tcPr>
          <w:p w14:paraId="11E4543C">
            <w:pPr>
              <w:rPr>
                <w:rFonts w:hint="eastAsia" w:ascii="宋体" w:hAnsi="宋体" w:eastAsia="宋体" w:cs="宋体"/>
                <w:color w:val="auto"/>
                <w:sz w:val="24"/>
                <w:highlight w:val="none"/>
              </w:rPr>
            </w:pPr>
          </w:p>
        </w:tc>
        <w:tc>
          <w:tcPr>
            <w:tcW w:w="2310" w:type="dxa"/>
            <w:noWrap w:val="0"/>
            <w:vAlign w:val="top"/>
          </w:tcPr>
          <w:p w14:paraId="08CFB8B7">
            <w:pPr>
              <w:rPr>
                <w:rFonts w:hint="eastAsia" w:ascii="宋体" w:hAnsi="宋体" w:eastAsia="宋体" w:cs="宋体"/>
                <w:color w:val="auto"/>
                <w:sz w:val="24"/>
                <w:highlight w:val="none"/>
              </w:rPr>
            </w:pPr>
          </w:p>
        </w:tc>
        <w:tc>
          <w:tcPr>
            <w:tcW w:w="1224" w:type="dxa"/>
            <w:noWrap w:val="0"/>
            <w:vAlign w:val="top"/>
          </w:tcPr>
          <w:p w14:paraId="77B89C8B">
            <w:pPr>
              <w:rPr>
                <w:rFonts w:hint="eastAsia" w:ascii="宋体" w:hAnsi="宋体" w:eastAsia="宋体" w:cs="宋体"/>
                <w:color w:val="auto"/>
                <w:sz w:val="24"/>
                <w:highlight w:val="none"/>
              </w:rPr>
            </w:pPr>
          </w:p>
        </w:tc>
      </w:tr>
      <w:tr w14:paraId="07AF5C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2BB55D8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1470" w:type="dxa"/>
            <w:noWrap w:val="0"/>
            <w:vAlign w:val="center"/>
          </w:tcPr>
          <w:p w14:paraId="143F955E">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付款响应</w:t>
            </w:r>
          </w:p>
        </w:tc>
        <w:tc>
          <w:tcPr>
            <w:tcW w:w="2520" w:type="dxa"/>
            <w:noWrap w:val="0"/>
            <w:vAlign w:val="top"/>
          </w:tcPr>
          <w:p w14:paraId="033E282A">
            <w:pPr>
              <w:rPr>
                <w:rFonts w:hint="eastAsia" w:ascii="宋体" w:hAnsi="宋体" w:eastAsia="宋体" w:cs="宋体"/>
                <w:color w:val="auto"/>
                <w:sz w:val="24"/>
                <w:highlight w:val="none"/>
              </w:rPr>
            </w:pPr>
          </w:p>
        </w:tc>
        <w:tc>
          <w:tcPr>
            <w:tcW w:w="2310" w:type="dxa"/>
            <w:noWrap w:val="0"/>
            <w:vAlign w:val="top"/>
          </w:tcPr>
          <w:p w14:paraId="7825CF10">
            <w:pPr>
              <w:rPr>
                <w:rFonts w:hint="eastAsia" w:ascii="宋体" w:hAnsi="宋体" w:eastAsia="宋体" w:cs="宋体"/>
                <w:color w:val="auto"/>
                <w:sz w:val="24"/>
                <w:highlight w:val="none"/>
              </w:rPr>
            </w:pPr>
          </w:p>
        </w:tc>
        <w:tc>
          <w:tcPr>
            <w:tcW w:w="1224" w:type="dxa"/>
            <w:noWrap w:val="0"/>
            <w:vAlign w:val="top"/>
          </w:tcPr>
          <w:p w14:paraId="0E152E92">
            <w:pPr>
              <w:rPr>
                <w:rFonts w:hint="eastAsia" w:ascii="宋体" w:hAnsi="宋体" w:eastAsia="宋体" w:cs="宋体"/>
                <w:color w:val="auto"/>
                <w:sz w:val="24"/>
                <w:highlight w:val="none"/>
              </w:rPr>
            </w:pPr>
          </w:p>
        </w:tc>
      </w:tr>
      <w:tr w14:paraId="396E2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7F3861B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1470" w:type="dxa"/>
            <w:noWrap w:val="0"/>
            <w:vAlign w:val="center"/>
          </w:tcPr>
          <w:p w14:paraId="2953F3D7">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业绩</w:t>
            </w:r>
          </w:p>
        </w:tc>
        <w:tc>
          <w:tcPr>
            <w:tcW w:w="2520" w:type="dxa"/>
            <w:noWrap w:val="0"/>
            <w:vAlign w:val="top"/>
          </w:tcPr>
          <w:p w14:paraId="297F94E7">
            <w:pPr>
              <w:rPr>
                <w:rFonts w:hint="eastAsia" w:ascii="宋体" w:hAnsi="宋体" w:eastAsia="宋体" w:cs="宋体"/>
                <w:color w:val="auto"/>
                <w:sz w:val="24"/>
                <w:highlight w:val="none"/>
              </w:rPr>
            </w:pPr>
          </w:p>
        </w:tc>
        <w:tc>
          <w:tcPr>
            <w:tcW w:w="2310" w:type="dxa"/>
            <w:noWrap w:val="0"/>
            <w:vAlign w:val="top"/>
          </w:tcPr>
          <w:p w14:paraId="5F6C2801">
            <w:pPr>
              <w:rPr>
                <w:rFonts w:hint="eastAsia" w:ascii="宋体" w:hAnsi="宋体" w:eastAsia="宋体" w:cs="宋体"/>
                <w:color w:val="auto"/>
                <w:sz w:val="24"/>
                <w:highlight w:val="none"/>
              </w:rPr>
            </w:pPr>
          </w:p>
        </w:tc>
        <w:tc>
          <w:tcPr>
            <w:tcW w:w="1224" w:type="dxa"/>
            <w:noWrap w:val="0"/>
            <w:vAlign w:val="top"/>
          </w:tcPr>
          <w:p w14:paraId="469B8C44">
            <w:pPr>
              <w:rPr>
                <w:rFonts w:hint="eastAsia" w:ascii="宋体" w:hAnsi="宋体" w:eastAsia="宋体" w:cs="宋体"/>
                <w:color w:val="auto"/>
                <w:sz w:val="24"/>
                <w:highlight w:val="none"/>
              </w:rPr>
            </w:pPr>
          </w:p>
        </w:tc>
      </w:tr>
      <w:tr w14:paraId="7F496A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4" w:hRule="atLeast"/>
        </w:trPr>
        <w:tc>
          <w:tcPr>
            <w:tcW w:w="840" w:type="dxa"/>
            <w:noWrap w:val="0"/>
            <w:vAlign w:val="center"/>
          </w:tcPr>
          <w:p w14:paraId="2A53D8FA">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5</w:t>
            </w:r>
          </w:p>
        </w:tc>
        <w:tc>
          <w:tcPr>
            <w:tcW w:w="1470" w:type="dxa"/>
            <w:noWrap w:val="0"/>
            <w:vAlign w:val="center"/>
          </w:tcPr>
          <w:p w14:paraId="6568973E">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其他</w:t>
            </w:r>
          </w:p>
        </w:tc>
        <w:tc>
          <w:tcPr>
            <w:tcW w:w="2520" w:type="dxa"/>
            <w:noWrap w:val="0"/>
            <w:vAlign w:val="top"/>
          </w:tcPr>
          <w:p w14:paraId="68553F28">
            <w:pPr>
              <w:rPr>
                <w:rFonts w:hint="eastAsia" w:ascii="宋体" w:hAnsi="宋体" w:eastAsia="宋体" w:cs="宋体"/>
                <w:color w:val="auto"/>
                <w:sz w:val="24"/>
                <w:highlight w:val="none"/>
              </w:rPr>
            </w:pPr>
          </w:p>
        </w:tc>
        <w:tc>
          <w:tcPr>
            <w:tcW w:w="2310" w:type="dxa"/>
            <w:noWrap w:val="0"/>
            <w:vAlign w:val="top"/>
          </w:tcPr>
          <w:p w14:paraId="6A314C48">
            <w:pPr>
              <w:rPr>
                <w:rFonts w:hint="eastAsia" w:ascii="宋体" w:hAnsi="宋体" w:eastAsia="宋体" w:cs="宋体"/>
                <w:color w:val="auto"/>
                <w:sz w:val="24"/>
                <w:highlight w:val="none"/>
              </w:rPr>
            </w:pPr>
          </w:p>
        </w:tc>
        <w:tc>
          <w:tcPr>
            <w:tcW w:w="1224" w:type="dxa"/>
            <w:noWrap w:val="0"/>
            <w:vAlign w:val="top"/>
          </w:tcPr>
          <w:p w14:paraId="60562380">
            <w:pPr>
              <w:rPr>
                <w:rFonts w:hint="eastAsia" w:ascii="宋体" w:hAnsi="宋体" w:eastAsia="宋体" w:cs="宋体"/>
                <w:color w:val="auto"/>
                <w:sz w:val="24"/>
                <w:highlight w:val="none"/>
              </w:rPr>
            </w:pPr>
          </w:p>
        </w:tc>
      </w:tr>
    </w:tbl>
    <w:p w14:paraId="72587189">
      <w:pPr>
        <w:spacing w:line="380" w:lineRule="exact"/>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章）</w:t>
      </w:r>
    </w:p>
    <w:p w14:paraId="58B5F8A7">
      <w:pPr>
        <w:spacing w:line="380" w:lineRule="exact"/>
        <w:ind w:right="640" w:firstLine="1560" w:firstLineChars="650"/>
        <w:jc w:val="left"/>
        <w:rPr>
          <w:rFonts w:hint="eastAsia" w:ascii="宋体" w:hAnsi="宋体" w:eastAsia="宋体" w:cs="宋体"/>
          <w:color w:val="auto"/>
          <w:sz w:val="24"/>
          <w:highlight w:val="none"/>
        </w:rPr>
      </w:pPr>
    </w:p>
    <w:p w14:paraId="05BCE23E">
      <w:pPr>
        <w:spacing w:line="380" w:lineRule="exact"/>
        <w:ind w:right="64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法人代表：（签</w:t>
      </w:r>
      <w:r>
        <w:rPr>
          <w:rFonts w:hint="eastAsia" w:ascii="宋体" w:hAnsi="宋体" w:eastAsia="宋体" w:cs="宋体"/>
          <w:color w:val="auto"/>
          <w:sz w:val="24"/>
          <w:highlight w:val="none"/>
          <w:lang w:val="en-US" w:eastAsia="zh-CN"/>
        </w:rPr>
        <w:t>字</w:t>
      </w:r>
      <w:r>
        <w:rPr>
          <w:rFonts w:hint="eastAsia" w:ascii="宋体" w:hAnsi="宋体" w:eastAsia="宋体" w:cs="宋体"/>
          <w:color w:val="auto"/>
          <w:sz w:val="24"/>
          <w:highlight w:val="none"/>
        </w:rPr>
        <w:t>）</w:t>
      </w:r>
    </w:p>
    <w:p w14:paraId="2D6B6856">
      <w:pPr>
        <w:jc w:val="right"/>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日期：      年   月    日</w:t>
      </w:r>
    </w:p>
    <w:p w14:paraId="28B448AF">
      <w:pPr>
        <w:adjustRightInd w:val="0"/>
        <w:snapToGrid w:val="0"/>
        <w:spacing w:line="360" w:lineRule="auto"/>
        <w:rPr>
          <w:rFonts w:hint="eastAsia" w:ascii="宋体" w:hAnsi="宋体" w:eastAsia="宋体" w:cs="宋体"/>
          <w:b/>
          <w:bCs/>
          <w:color w:val="auto"/>
          <w:sz w:val="24"/>
          <w:szCs w:val="28"/>
          <w:highlight w:val="none"/>
        </w:rPr>
      </w:pPr>
      <w:r>
        <w:rPr>
          <w:rFonts w:hint="eastAsia" w:ascii="宋体" w:hAnsi="宋体" w:eastAsia="宋体" w:cs="宋体"/>
          <w:b/>
          <w:bCs/>
          <w:color w:val="auto"/>
          <w:sz w:val="24"/>
          <w:szCs w:val="28"/>
          <w:highlight w:val="none"/>
        </w:rPr>
        <w:t>备注：</w:t>
      </w:r>
    </w:p>
    <w:p w14:paraId="1331B42B">
      <w:pPr>
        <w:adjustRightInd w:val="0"/>
        <w:snapToGrid w:val="0"/>
        <w:spacing w:line="360" w:lineRule="auto"/>
        <w:rPr>
          <w:rFonts w:hint="eastAsia" w:ascii="宋体" w:hAnsi="宋体" w:eastAsia="宋体" w:cs="宋体"/>
          <w:b/>
          <w:bCs/>
          <w:color w:val="auto"/>
          <w:sz w:val="24"/>
          <w:szCs w:val="28"/>
          <w:highlight w:val="none"/>
        </w:rPr>
      </w:pPr>
      <w:r>
        <w:rPr>
          <w:rFonts w:hint="eastAsia" w:ascii="宋体" w:hAnsi="宋体" w:eastAsia="宋体" w:cs="宋体"/>
          <w:b/>
          <w:bCs/>
          <w:color w:val="auto"/>
          <w:sz w:val="24"/>
          <w:szCs w:val="28"/>
          <w:highlight w:val="none"/>
        </w:rPr>
        <w:t>1、投标人必须逐项对应描述投标服务要求，如不进行描述，仅在响应栏填“响应”或未填写的，将可能导致投标无效；</w:t>
      </w:r>
    </w:p>
    <w:p w14:paraId="1C312131">
      <w:pPr>
        <w:adjustRightInd w:val="0"/>
        <w:snapToGrid w:val="0"/>
        <w:spacing w:line="360" w:lineRule="auto"/>
        <w:rPr>
          <w:rFonts w:hint="eastAsia" w:ascii="宋体" w:hAnsi="宋体" w:eastAsia="宋体" w:cs="宋体"/>
          <w:b/>
          <w:bCs/>
          <w:color w:val="auto"/>
          <w:sz w:val="24"/>
          <w:szCs w:val="28"/>
          <w:highlight w:val="none"/>
        </w:rPr>
      </w:pPr>
      <w:r>
        <w:rPr>
          <w:rFonts w:hint="eastAsia" w:ascii="宋体" w:hAnsi="宋体" w:eastAsia="宋体" w:cs="宋体"/>
          <w:b/>
          <w:bCs/>
          <w:color w:val="auto"/>
          <w:sz w:val="24"/>
          <w:szCs w:val="28"/>
          <w:highlight w:val="none"/>
        </w:rPr>
        <w:t>2、投标人所投服务如与招标文件要求不一致，则须在上表偏离说明中详细注明。</w:t>
      </w:r>
    </w:p>
    <w:p w14:paraId="6B4EC7E8">
      <w:pPr>
        <w:adjustRightInd w:val="0"/>
        <w:snapToGrid w:val="0"/>
        <w:spacing w:line="360" w:lineRule="auto"/>
        <w:rPr>
          <w:rFonts w:hint="eastAsia" w:ascii="宋体" w:hAnsi="宋体" w:eastAsia="宋体" w:cs="宋体"/>
          <w:b/>
          <w:bCs/>
          <w:color w:val="auto"/>
          <w:sz w:val="24"/>
          <w:szCs w:val="28"/>
          <w:highlight w:val="none"/>
        </w:rPr>
      </w:pPr>
      <w:r>
        <w:rPr>
          <w:rFonts w:hint="eastAsia" w:ascii="宋体" w:hAnsi="宋体" w:eastAsia="宋体" w:cs="宋体"/>
          <w:b/>
          <w:bCs/>
          <w:color w:val="auto"/>
          <w:sz w:val="24"/>
          <w:szCs w:val="28"/>
          <w:highlight w:val="none"/>
        </w:rPr>
        <w:t>3、响应部分可后附详细说明及技术资料，并应注明投标文件中对应的页码范围。</w:t>
      </w:r>
    </w:p>
    <w:p w14:paraId="0F607BBB">
      <w:pPr>
        <w:pStyle w:val="17"/>
        <w:rPr>
          <w:rFonts w:hint="eastAsia" w:ascii="宋体" w:hAnsi="宋体" w:eastAsia="宋体" w:cs="宋体"/>
          <w:color w:val="auto"/>
          <w:highlight w:val="none"/>
        </w:rPr>
      </w:pPr>
    </w:p>
    <w:p w14:paraId="40ECA46F">
      <w:pPr>
        <w:pStyle w:val="17"/>
        <w:rPr>
          <w:rFonts w:hint="eastAsia" w:ascii="宋体" w:hAnsi="宋体" w:eastAsia="宋体" w:cs="宋体"/>
          <w:color w:val="auto"/>
          <w:highlight w:val="none"/>
        </w:rPr>
      </w:pPr>
    </w:p>
    <w:p w14:paraId="66C3B6FB">
      <w:pPr>
        <w:pStyle w:val="17"/>
        <w:rPr>
          <w:rFonts w:hint="eastAsia" w:ascii="宋体" w:hAnsi="宋体" w:eastAsia="宋体" w:cs="宋体"/>
          <w:color w:val="auto"/>
          <w:highlight w:val="none"/>
        </w:rPr>
      </w:pPr>
    </w:p>
    <w:p w14:paraId="68ACACAD">
      <w:pPr>
        <w:pStyle w:val="17"/>
        <w:rPr>
          <w:rFonts w:hint="eastAsia" w:ascii="宋体" w:hAnsi="宋体" w:eastAsia="宋体" w:cs="宋体"/>
          <w:color w:val="auto"/>
          <w:highlight w:val="none"/>
          <w:lang w:eastAsia="zh-CN"/>
        </w:rPr>
      </w:pPr>
    </w:p>
    <w:p w14:paraId="7F432DDF">
      <w:pPr>
        <w:pStyle w:val="17"/>
        <w:rPr>
          <w:rFonts w:hint="eastAsia" w:ascii="宋体" w:hAnsi="宋体" w:eastAsia="宋体" w:cs="宋体"/>
          <w:color w:val="auto"/>
          <w:highlight w:val="none"/>
          <w:lang w:eastAsia="zh-CN"/>
        </w:rPr>
      </w:pPr>
    </w:p>
    <w:p w14:paraId="3F14EF6F">
      <w:pPr>
        <w:pStyle w:val="17"/>
        <w:rPr>
          <w:rFonts w:hint="eastAsia" w:ascii="宋体" w:hAnsi="宋体" w:eastAsia="宋体" w:cs="宋体"/>
          <w:color w:val="auto"/>
          <w:highlight w:val="none"/>
        </w:rPr>
      </w:pPr>
    </w:p>
    <w:p w14:paraId="549DFD7C">
      <w:pPr>
        <w:pStyle w:val="17"/>
        <w:rPr>
          <w:rFonts w:hint="eastAsia" w:ascii="宋体" w:hAnsi="宋体" w:eastAsia="宋体" w:cs="宋体"/>
          <w:color w:val="auto"/>
          <w:highlight w:val="none"/>
        </w:rPr>
      </w:pPr>
    </w:p>
    <w:p w14:paraId="483AEBEE">
      <w:pPr>
        <w:pStyle w:val="6"/>
        <w:rPr>
          <w:rFonts w:hint="eastAsia" w:ascii="宋体" w:hAnsi="宋体" w:eastAsia="宋体" w:cs="宋体"/>
          <w:color w:val="auto"/>
          <w:sz w:val="28"/>
          <w:szCs w:val="36"/>
          <w:highlight w:val="none"/>
        </w:rPr>
      </w:pPr>
      <w:bookmarkStart w:id="184" w:name="_Hlt509738950"/>
      <w:bookmarkEnd w:id="184"/>
      <w:bookmarkStart w:id="185" w:name="_Toc28604"/>
      <w:bookmarkStart w:id="186" w:name="_Toc40975454"/>
      <w:bookmarkStart w:id="187" w:name="_Toc1906"/>
      <w:bookmarkStart w:id="188" w:name="_Toc220232400"/>
      <w:bookmarkStart w:id="189" w:name="_Toc19673"/>
      <w:bookmarkStart w:id="190" w:name="_Toc2238_WPSOffice_Level2"/>
      <w:r>
        <w:rPr>
          <w:rFonts w:hint="eastAsia" w:ascii="宋体" w:hAnsi="宋体" w:eastAsia="宋体" w:cs="宋体"/>
          <w:color w:val="auto"/>
          <w:sz w:val="28"/>
          <w:highlight w:val="none"/>
        </w:rPr>
        <w:t>六．</w:t>
      </w:r>
      <w:r>
        <w:rPr>
          <w:rFonts w:hint="eastAsia" w:ascii="宋体" w:hAnsi="宋体" w:eastAsia="宋体" w:cs="宋体"/>
          <w:color w:val="auto"/>
          <w:sz w:val="28"/>
          <w:highlight w:val="none"/>
          <w:lang w:eastAsia="zh-CN"/>
        </w:rPr>
        <w:t>服务</w:t>
      </w:r>
      <w:r>
        <w:rPr>
          <w:rFonts w:hint="eastAsia" w:ascii="宋体" w:hAnsi="宋体" w:eastAsia="宋体" w:cs="宋体"/>
          <w:color w:val="auto"/>
          <w:sz w:val="28"/>
          <w:highlight w:val="none"/>
        </w:rPr>
        <w:t>质量承诺</w:t>
      </w:r>
      <w:bookmarkEnd w:id="185"/>
      <w:bookmarkEnd w:id="186"/>
      <w:bookmarkEnd w:id="187"/>
      <w:bookmarkEnd w:id="188"/>
      <w:bookmarkEnd w:id="189"/>
      <w:bookmarkEnd w:id="190"/>
    </w:p>
    <w:p w14:paraId="33FFB84C">
      <w:pPr>
        <w:spacing w:before="48" w:beforeLines="20" w:after="48" w:afterLines="20" w:line="360" w:lineRule="auto"/>
        <w:ind w:firstLine="480" w:firstLineChars="200"/>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(投标人可自行制作格式)</w:t>
      </w:r>
    </w:p>
    <w:p w14:paraId="5E6DE928">
      <w:pPr>
        <w:spacing w:before="48" w:beforeLines="20" w:after="48" w:afterLines="20" w:line="360" w:lineRule="auto"/>
        <w:rPr>
          <w:rFonts w:hint="eastAsia" w:ascii="宋体" w:hAnsi="宋体" w:eastAsia="宋体" w:cs="宋体"/>
          <w:color w:val="auto"/>
          <w:sz w:val="28"/>
          <w:highlight w:val="none"/>
        </w:rPr>
      </w:pPr>
    </w:p>
    <w:p w14:paraId="05938886">
      <w:pPr>
        <w:pStyle w:val="17"/>
        <w:rPr>
          <w:rFonts w:hint="eastAsia" w:ascii="宋体" w:hAnsi="宋体" w:eastAsia="宋体" w:cs="宋体"/>
          <w:color w:val="auto"/>
          <w:highlight w:val="none"/>
        </w:rPr>
      </w:pPr>
    </w:p>
    <w:p w14:paraId="3332587D">
      <w:pPr>
        <w:pStyle w:val="17"/>
        <w:rPr>
          <w:rFonts w:hint="eastAsia" w:ascii="宋体" w:hAnsi="宋体" w:eastAsia="宋体" w:cs="宋体"/>
          <w:color w:val="auto"/>
          <w:highlight w:val="none"/>
        </w:rPr>
      </w:pPr>
    </w:p>
    <w:p w14:paraId="24AD6333">
      <w:pPr>
        <w:pStyle w:val="17"/>
        <w:rPr>
          <w:rFonts w:hint="eastAsia" w:ascii="宋体" w:hAnsi="宋体" w:eastAsia="宋体" w:cs="宋体"/>
          <w:color w:val="auto"/>
          <w:highlight w:val="none"/>
        </w:rPr>
      </w:pPr>
    </w:p>
    <w:p w14:paraId="0CDF664E">
      <w:pPr>
        <w:pStyle w:val="17"/>
        <w:rPr>
          <w:rFonts w:hint="eastAsia" w:ascii="宋体" w:hAnsi="宋体" w:eastAsia="宋体" w:cs="宋体"/>
          <w:color w:val="auto"/>
          <w:highlight w:val="none"/>
        </w:rPr>
      </w:pPr>
    </w:p>
    <w:p w14:paraId="13A6AC74">
      <w:pPr>
        <w:pStyle w:val="17"/>
        <w:rPr>
          <w:rFonts w:hint="eastAsia" w:ascii="宋体" w:hAnsi="宋体" w:eastAsia="宋体" w:cs="宋体"/>
          <w:color w:val="auto"/>
          <w:highlight w:val="none"/>
        </w:rPr>
      </w:pPr>
    </w:p>
    <w:p w14:paraId="6F44CB43">
      <w:pPr>
        <w:pStyle w:val="17"/>
        <w:rPr>
          <w:rFonts w:hint="eastAsia" w:ascii="宋体" w:hAnsi="宋体" w:eastAsia="宋体" w:cs="宋体"/>
          <w:color w:val="auto"/>
          <w:highlight w:val="none"/>
        </w:rPr>
      </w:pPr>
    </w:p>
    <w:p w14:paraId="3DA88A88">
      <w:pPr>
        <w:pStyle w:val="17"/>
        <w:rPr>
          <w:rFonts w:hint="eastAsia" w:ascii="宋体" w:hAnsi="宋体" w:eastAsia="宋体" w:cs="宋体"/>
          <w:color w:val="auto"/>
          <w:highlight w:val="none"/>
        </w:rPr>
      </w:pPr>
    </w:p>
    <w:p w14:paraId="35E5A317">
      <w:pPr>
        <w:pStyle w:val="17"/>
        <w:rPr>
          <w:rFonts w:hint="eastAsia" w:ascii="宋体" w:hAnsi="宋体" w:eastAsia="宋体" w:cs="宋体"/>
          <w:color w:val="auto"/>
          <w:highlight w:val="none"/>
        </w:rPr>
      </w:pPr>
    </w:p>
    <w:p w14:paraId="61D5D645">
      <w:pPr>
        <w:pStyle w:val="17"/>
        <w:rPr>
          <w:rFonts w:hint="eastAsia" w:ascii="宋体" w:hAnsi="宋体" w:eastAsia="宋体" w:cs="宋体"/>
          <w:color w:val="auto"/>
          <w:highlight w:val="none"/>
        </w:rPr>
      </w:pPr>
    </w:p>
    <w:p w14:paraId="2F84B25F">
      <w:pPr>
        <w:pStyle w:val="17"/>
        <w:rPr>
          <w:rFonts w:hint="eastAsia" w:ascii="宋体" w:hAnsi="宋体" w:eastAsia="宋体" w:cs="宋体"/>
          <w:color w:val="auto"/>
          <w:highlight w:val="none"/>
        </w:rPr>
      </w:pPr>
    </w:p>
    <w:p w14:paraId="2ECBDDB7">
      <w:pPr>
        <w:pStyle w:val="17"/>
        <w:rPr>
          <w:rFonts w:hint="eastAsia" w:ascii="宋体" w:hAnsi="宋体" w:eastAsia="宋体" w:cs="宋体"/>
          <w:color w:val="auto"/>
          <w:highlight w:val="none"/>
        </w:rPr>
      </w:pPr>
    </w:p>
    <w:p w14:paraId="0B4D8744">
      <w:pPr>
        <w:pStyle w:val="17"/>
        <w:rPr>
          <w:rFonts w:hint="eastAsia" w:ascii="宋体" w:hAnsi="宋体" w:eastAsia="宋体" w:cs="宋体"/>
          <w:color w:val="auto"/>
          <w:highlight w:val="none"/>
        </w:rPr>
      </w:pPr>
    </w:p>
    <w:p w14:paraId="3A0D7A02">
      <w:pPr>
        <w:pStyle w:val="17"/>
        <w:rPr>
          <w:rFonts w:hint="eastAsia" w:ascii="宋体" w:hAnsi="宋体" w:eastAsia="宋体" w:cs="宋体"/>
          <w:color w:val="auto"/>
          <w:highlight w:val="none"/>
        </w:rPr>
      </w:pPr>
    </w:p>
    <w:p w14:paraId="4AF71332">
      <w:pPr>
        <w:pStyle w:val="17"/>
        <w:rPr>
          <w:rFonts w:hint="eastAsia" w:ascii="宋体" w:hAnsi="宋体" w:eastAsia="宋体" w:cs="宋体"/>
          <w:color w:val="auto"/>
          <w:highlight w:val="none"/>
        </w:rPr>
      </w:pPr>
    </w:p>
    <w:p w14:paraId="7F78FA36">
      <w:pPr>
        <w:pStyle w:val="17"/>
        <w:rPr>
          <w:rFonts w:hint="eastAsia" w:ascii="宋体" w:hAnsi="宋体" w:eastAsia="宋体" w:cs="宋体"/>
          <w:color w:val="auto"/>
          <w:highlight w:val="none"/>
        </w:rPr>
      </w:pPr>
    </w:p>
    <w:p w14:paraId="2DBAD77A">
      <w:pPr>
        <w:pStyle w:val="17"/>
        <w:rPr>
          <w:rFonts w:hint="eastAsia" w:ascii="宋体" w:hAnsi="宋体" w:eastAsia="宋体" w:cs="宋体"/>
          <w:color w:val="auto"/>
          <w:highlight w:val="none"/>
        </w:rPr>
      </w:pPr>
    </w:p>
    <w:p w14:paraId="46139631">
      <w:pPr>
        <w:pStyle w:val="17"/>
        <w:rPr>
          <w:rFonts w:hint="eastAsia" w:ascii="宋体" w:hAnsi="宋体" w:eastAsia="宋体" w:cs="宋体"/>
          <w:color w:val="auto"/>
          <w:highlight w:val="none"/>
        </w:rPr>
      </w:pPr>
    </w:p>
    <w:p w14:paraId="6E7BFAEB">
      <w:pPr>
        <w:pStyle w:val="17"/>
        <w:rPr>
          <w:rFonts w:hint="eastAsia" w:ascii="宋体" w:hAnsi="宋体" w:eastAsia="宋体" w:cs="宋体"/>
          <w:color w:val="auto"/>
          <w:highlight w:val="none"/>
        </w:rPr>
      </w:pPr>
    </w:p>
    <w:p w14:paraId="2DC8C43F">
      <w:pPr>
        <w:pStyle w:val="17"/>
        <w:rPr>
          <w:rFonts w:hint="eastAsia" w:ascii="宋体" w:hAnsi="宋体" w:eastAsia="宋体" w:cs="宋体"/>
          <w:color w:val="auto"/>
          <w:highlight w:val="none"/>
        </w:rPr>
      </w:pPr>
    </w:p>
    <w:p w14:paraId="55C9F61E">
      <w:pPr>
        <w:pStyle w:val="6"/>
        <w:rPr>
          <w:rFonts w:hint="eastAsia" w:ascii="宋体" w:hAnsi="宋体" w:eastAsia="宋体" w:cs="宋体"/>
          <w:color w:val="auto"/>
          <w:sz w:val="28"/>
          <w:szCs w:val="36"/>
          <w:highlight w:val="none"/>
        </w:rPr>
      </w:pPr>
      <w:bookmarkStart w:id="191" w:name="_Toc516969105"/>
      <w:bookmarkStart w:id="192" w:name="_Toc40975456"/>
      <w:bookmarkStart w:id="193" w:name="_Toc235"/>
      <w:bookmarkStart w:id="194" w:name="_Toc25061"/>
      <w:bookmarkStart w:id="195" w:name="_Toc220232402"/>
      <w:bookmarkStart w:id="196" w:name="_Toc8310"/>
      <w:bookmarkStart w:id="197" w:name="_Toc5312_WPSOffice_Level2"/>
      <w:r>
        <w:rPr>
          <w:rFonts w:hint="eastAsia" w:ascii="宋体" w:hAnsi="宋体" w:eastAsia="宋体" w:cs="宋体"/>
          <w:color w:val="auto"/>
          <w:sz w:val="28"/>
          <w:highlight w:val="none"/>
          <w:lang w:eastAsia="zh-CN"/>
        </w:rPr>
        <w:br w:type="page"/>
      </w:r>
      <w:r>
        <w:rPr>
          <w:rFonts w:hint="eastAsia" w:ascii="宋体" w:hAnsi="宋体" w:eastAsia="宋体" w:cs="宋体"/>
          <w:color w:val="auto"/>
          <w:sz w:val="28"/>
          <w:highlight w:val="none"/>
          <w:lang w:eastAsia="zh-CN"/>
        </w:rPr>
        <w:t>七</w:t>
      </w:r>
      <w:r>
        <w:rPr>
          <w:rFonts w:hint="eastAsia" w:ascii="宋体" w:hAnsi="宋体" w:eastAsia="宋体" w:cs="宋体"/>
          <w:color w:val="auto"/>
          <w:sz w:val="28"/>
          <w:highlight w:val="none"/>
        </w:rPr>
        <w:t>．有关证明文件</w:t>
      </w:r>
      <w:bookmarkEnd w:id="191"/>
      <w:bookmarkEnd w:id="192"/>
      <w:bookmarkEnd w:id="193"/>
      <w:bookmarkEnd w:id="194"/>
      <w:bookmarkEnd w:id="195"/>
      <w:bookmarkEnd w:id="196"/>
      <w:bookmarkEnd w:id="197"/>
    </w:p>
    <w:p w14:paraId="555A0DA9">
      <w:pPr>
        <w:tabs>
          <w:tab w:val="left" w:pos="4620"/>
        </w:tabs>
        <w:spacing w:line="360" w:lineRule="auto"/>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提供符合投标邀请（招标公告）、需求一览表及评标办法规定的相关证明文件。</w:t>
      </w:r>
    </w:p>
    <w:p w14:paraId="0CC3C863">
      <w:pPr>
        <w:tabs>
          <w:tab w:val="left" w:pos="4620"/>
        </w:tabs>
        <w:spacing w:line="360" w:lineRule="auto"/>
        <w:ind w:firstLine="480" w:firstLineChars="200"/>
        <w:rPr>
          <w:rFonts w:hint="eastAsia" w:ascii="宋体" w:hAnsi="宋体" w:eastAsia="宋体" w:cs="宋体"/>
          <w:color w:val="auto"/>
          <w:sz w:val="24"/>
          <w:highlight w:val="none"/>
        </w:rPr>
      </w:pPr>
    </w:p>
    <w:p w14:paraId="76B7E5F7">
      <w:pPr>
        <w:tabs>
          <w:tab w:val="left" w:pos="4620"/>
        </w:tabs>
        <w:spacing w:line="360" w:lineRule="auto"/>
        <w:ind w:firstLine="480" w:firstLineChars="200"/>
        <w:rPr>
          <w:rFonts w:hint="eastAsia" w:ascii="宋体" w:hAnsi="宋体" w:eastAsia="宋体" w:cs="宋体"/>
          <w:color w:val="auto"/>
          <w:sz w:val="24"/>
          <w:highlight w:val="none"/>
        </w:rPr>
      </w:pPr>
    </w:p>
    <w:p w14:paraId="3C9F6784">
      <w:pPr>
        <w:tabs>
          <w:tab w:val="left" w:pos="4620"/>
        </w:tabs>
        <w:spacing w:line="360" w:lineRule="auto"/>
        <w:ind w:firstLine="480" w:firstLineChars="200"/>
        <w:rPr>
          <w:rFonts w:hint="eastAsia" w:ascii="宋体" w:hAnsi="宋体" w:eastAsia="宋体" w:cs="宋体"/>
          <w:color w:val="auto"/>
          <w:sz w:val="24"/>
          <w:highlight w:val="none"/>
        </w:rPr>
      </w:pPr>
    </w:p>
    <w:p w14:paraId="2433956D">
      <w:pPr>
        <w:tabs>
          <w:tab w:val="left" w:pos="4620"/>
        </w:tabs>
        <w:spacing w:line="360" w:lineRule="auto"/>
        <w:ind w:firstLine="480" w:firstLineChars="200"/>
        <w:rPr>
          <w:rFonts w:hint="eastAsia" w:ascii="宋体" w:hAnsi="宋体" w:eastAsia="宋体" w:cs="宋体"/>
          <w:color w:val="auto"/>
          <w:sz w:val="24"/>
          <w:highlight w:val="none"/>
        </w:rPr>
      </w:pPr>
    </w:p>
    <w:p w14:paraId="06CD9228">
      <w:pPr>
        <w:tabs>
          <w:tab w:val="left" w:pos="4620"/>
        </w:tabs>
        <w:spacing w:line="360" w:lineRule="auto"/>
        <w:ind w:firstLine="480" w:firstLineChars="200"/>
        <w:rPr>
          <w:rFonts w:hint="eastAsia" w:ascii="宋体" w:hAnsi="宋体" w:eastAsia="宋体" w:cs="宋体"/>
          <w:color w:val="auto"/>
          <w:sz w:val="24"/>
          <w:highlight w:val="none"/>
        </w:rPr>
      </w:pPr>
    </w:p>
    <w:p w14:paraId="1C0A8CCD">
      <w:pPr>
        <w:tabs>
          <w:tab w:val="left" w:pos="4620"/>
        </w:tabs>
        <w:spacing w:line="360" w:lineRule="auto"/>
        <w:ind w:firstLine="480" w:firstLineChars="200"/>
        <w:rPr>
          <w:rFonts w:hint="eastAsia" w:ascii="宋体" w:hAnsi="宋体" w:eastAsia="宋体" w:cs="宋体"/>
          <w:color w:val="auto"/>
          <w:sz w:val="24"/>
          <w:highlight w:val="none"/>
        </w:rPr>
      </w:pPr>
    </w:p>
    <w:p w14:paraId="2FF4B0C2">
      <w:pPr>
        <w:tabs>
          <w:tab w:val="left" w:pos="4620"/>
        </w:tabs>
        <w:spacing w:line="360" w:lineRule="auto"/>
        <w:ind w:firstLine="480" w:firstLineChars="200"/>
        <w:rPr>
          <w:rFonts w:hint="eastAsia" w:ascii="宋体" w:hAnsi="宋体" w:eastAsia="宋体" w:cs="宋体"/>
          <w:color w:val="auto"/>
          <w:sz w:val="24"/>
          <w:highlight w:val="none"/>
        </w:rPr>
      </w:pPr>
    </w:p>
    <w:p w14:paraId="36A5A893">
      <w:pPr>
        <w:tabs>
          <w:tab w:val="left" w:pos="4620"/>
        </w:tabs>
        <w:spacing w:line="360" w:lineRule="auto"/>
        <w:ind w:firstLine="480" w:firstLineChars="200"/>
        <w:rPr>
          <w:rFonts w:hint="eastAsia" w:ascii="宋体" w:hAnsi="宋体" w:eastAsia="宋体" w:cs="宋体"/>
          <w:color w:val="auto"/>
          <w:sz w:val="24"/>
          <w:highlight w:val="none"/>
        </w:rPr>
      </w:pPr>
    </w:p>
    <w:p w14:paraId="0EA67908">
      <w:pPr>
        <w:tabs>
          <w:tab w:val="left" w:pos="4620"/>
        </w:tabs>
        <w:spacing w:line="360" w:lineRule="auto"/>
        <w:ind w:firstLine="480" w:firstLineChars="200"/>
        <w:rPr>
          <w:rFonts w:hint="eastAsia" w:ascii="宋体" w:hAnsi="宋体" w:eastAsia="宋体" w:cs="宋体"/>
          <w:color w:val="auto"/>
          <w:sz w:val="24"/>
          <w:highlight w:val="none"/>
        </w:rPr>
      </w:pPr>
    </w:p>
    <w:p w14:paraId="6FB44C02">
      <w:pPr>
        <w:tabs>
          <w:tab w:val="left" w:pos="4620"/>
        </w:tabs>
        <w:spacing w:line="360" w:lineRule="auto"/>
        <w:ind w:firstLine="480" w:firstLineChars="200"/>
        <w:rPr>
          <w:rFonts w:hint="eastAsia" w:ascii="宋体" w:hAnsi="宋体" w:eastAsia="宋体" w:cs="宋体"/>
          <w:color w:val="auto"/>
          <w:sz w:val="24"/>
          <w:highlight w:val="none"/>
        </w:rPr>
      </w:pPr>
    </w:p>
    <w:p w14:paraId="786E7B51">
      <w:pPr>
        <w:tabs>
          <w:tab w:val="left" w:pos="4620"/>
        </w:tabs>
        <w:spacing w:line="360" w:lineRule="auto"/>
        <w:ind w:firstLine="480" w:firstLineChars="200"/>
        <w:rPr>
          <w:rFonts w:hint="eastAsia" w:ascii="宋体" w:hAnsi="宋体" w:eastAsia="宋体" w:cs="宋体"/>
          <w:color w:val="auto"/>
          <w:sz w:val="24"/>
          <w:highlight w:val="none"/>
        </w:rPr>
      </w:pPr>
    </w:p>
    <w:p w14:paraId="46A7755E">
      <w:pPr>
        <w:tabs>
          <w:tab w:val="left" w:pos="4620"/>
        </w:tabs>
        <w:spacing w:line="360" w:lineRule="auto"/>
        <w:ind w:firstLine="480" w:firstLineChars="200"/>
        <w:rPr>
          <w:rFonts w:hint="eastAsia" w:ascii="宋体" w:hAnsi="宋体" w:eastAsia="宋体" w:cs="宋体"/>
          <w:color w:val="auto"/>
          <w:sz w:val="24"/>
          <w:highlight w:val="none"/>
        </w:rPr>
      </w:pPr>
    </w:p>
    <w:p w14:paraId="6ADF6CCF">
      <w:pPr>
        <w:tabs>
          <w:tab w:val="left" w:pos="4620"/>
        </w:tabs>
        <w:spacing w:line="360" w:lineRule="auto"/>
        <w:ind w:firstLine="480" w:firstLineChars="200"/>
        <w:rPr>
          <w:rFonts w:hint="eastAsia" w:ascii="宋体" w:hAnsi="宋体" w:eastAsia="宋体" w:cs="宋体"/>
          <w:color w:val="auto"/>
          <w:sz w:val="24"/>
          <w:highlight w:val="none"/>
        </w:rPr>
      </w:pPr>
    </w:p>
    <w:p w14:paraId="4009E79B">
      <w:pPr>
        <w:tabs>
          <w:tab w:val="left" w:pos="4620"/>
        </w:tabs>
        <w:spacing w:line="360" w:lineRule="auto"/>
        <w:rPr>
          <w:rFonts w:hint="eastAsia" w:ascii="宋体" w:hAnsi="宋体" w:eastAsia="宋体" w:cs="宋体"/>
          <w:color w:val="auto"/>
          <w:sz w:val="24"/>
          <w:highlight w:val="none"/>
        </w:rPr>
      </w:pPr>
    </w:p>
    <w:p w14:paraId="6AF47DB2">
      <w:pPr>
        <w:tabs>
          <w:tab w:val="left" w:pos="4620"/>
        </w:tabs>
        <w:spacing w:line="360" w:lineRule="auto"/>
        <w:ind w:firstLine="480" w:firstLineChars="200"/>
        <w:rPr>
          <w:rFonts w:hint="eastAsia" w:ascii="宋体" w:hAnsi="宋体" w:eastAsia="宋体" w:cs="宋体"/>
          <w:color w:val="auto"/>
          <w:sz w:val="24"/>
          <w:highlight w:val="none"/>
        </w:rPr>
      </w:pPr>
    </w:p>
    <w:p w14:paraId="65974C51">
      <w:pPr>
        <w:keepNext w:val="0"/>
        <w:keepLines w:val="0"/>
        <w:pageBreakBefore w:val="0"/>
        <w:widowControl w:val="0"/>
        <w:tabs>
          <w:tab w:val="left" w:pos="4620"/>
        </w:tabs>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highlight w:val="none"/>
        </w:rPr>
      </w:pPr>
    </w:p>
    <w:p w14:paraId="225C9F6C">
      <w:pPr>
        <w:keepNext w:val="0"/>
        <w:keepLines w:val="0"/>
        <w:pageBreakBefore w:val="0"/>
        <w:widowControl w:val="0"/>
        <w:numPr>
          <w:ilvl w:val="0"/>
          <w:numId w:val="2"/>
        </w:numPr>
        <w:kinsoku/>
        <w:wordWrap/>
        <w:overflowPunct/>
        <w:topLinePunct w:val="0"/>
        <w:autoSpaceDE/>
        <w:autoSpaceDN/>
        <w:bidi w:val="0"/>
        <w:adjustRightInd/>
        <w:snapToGrid/>
        <w:spacing w:line="360" w:lineRule="auto"/>
        <w:jc w:val="center"/>
        <w:textAlignment w:val="auto"/>
        <w:rPr>
          <w:rFonts w:hint="eastAsia"/>
          <w:b/>
          <w:bCs/>
          <w:color w:val="auto"/>
          <w:sz w:val="28"/>
          <w:szCs w:val="28"/>
          <w:highlight w:val="none"/>
        </w:rPr>
      </w:pPr>
      <w:r>
        <w:rPr>
          <w:rFonts w:hint="eastAsia"/>
          <w:b/>
          <w:bCs/>
          <w:color w:val="auto"/>
          <w:sz w:val="28"/>
          <w:szCs w:val="28"/>
          <w:highlight w:val="none"/>
        </w:rPr>
        <w:br w:type="page"/>
      </w:r>
      <w:r>
        <w:rPr>
          <w:rFonts w:hint="eastAsia"/>
          <w:b/>
          <w:bCs/>
          <w:color w:val="auto"/>
          <w:sz w:val="28"/>
          <w:szCs w:val="28"/>
          <w:highlight w:val="none"/>
        </w:rPr>
        <w:t>中小企业声明函（工程、服务）</w:t>
      </w:r>
    </w:p>
    <w:p w14:paraId="0201CDB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b/>
          <w:bCs/>
          <w:color w:val="auto"/>
          <w:sz w:val="32"/>
          <w:szCs w:val="32"/>
          <w:highlight w:val="none"/>
        </w:rPr>
      </w:pPr>
    </w:p>
    <w:p w14:paraId="1226ED3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本公司（联合体）郑重声明，根据《政府采购促进中小企业发展管理办法》（财库﹝2020﹞46号）的规定，本公司（联合体）参加</w:t>
      </w:r>
      <w:r>
        <w:rPr>
          <w:rFonts w:hint="eastAsia" w:ascii="宋体" w:hAnsi="宋体" w:eastAsia="宋体" w:cs="宋体"/>
          <w:color w:val="auto"/>
          <w:sz w:val="24"/>
          <w:szCs w:val="24"/>
          <w:highlight w:val="none"/>
          <w:u w:val="single"/>
        </w:rPr>
        <w:t>（单位名称）</w:t>
      </w:r>
      <w:r>
        <w:rPr>
          <w:rFonts w:hint="eastAsia" w:ascii="宋体" w:hAnsi="宋体" w:eastAsia="宋体" w:cs="宋体"/>
          <w:color w:val="auto"/>
          <w:sz w:val="24"/>
          <w:szCs w:val="24"/>
          <w:highlight w:val="none"/>
        </w:rPr>
        <w:t>的</w:t>
      </w:r>
      <w:r>
        <w:rPr>
          <w:rFonts w:hint="eastAsia" w:ascii="宋体" w:hAnsi="宋体" w:eastAsia="宋体" w:cs="宋体"/>
          <w:color w:val="auto"/>
          <w:sz w:val="24"/>
          <w:szCs w:val="24"/>
          <w:highlight w:val="none"/>
          <w:u w:val="single"/>
        </w:rPr>
        <w:t>（项目名称）</w:t>
      </w:r>
      <w:r>
        <w:rPr>
          <w:rFonts w:hint="eastAsia" w:ascii="宋体" w:hAnsi="宋体" w:eastAsia="宋体" w:cs="宋体"/>
          <w:color w:val="auto"/>
          <w:sz w:val="24"/>
          <w:szCs w:val="24"/>
          <w:highlight w:val="none"/>
        </w:rPr>
        <w:t>采购活动，工程的施工单位全部为符合政策要求的中小企业</w:t>
      </w:r>
      <w:r>
        <w:rPr>
          <w:rFonts w:hint="eastAsia" w:ascii="宋体" w:hAnsi="宋体" w:eastAsia="宋体" w:cs="宋体"/>
          <w:color w:val="auto"/>
          <w:sz w:val="24"/>
          <w:szCs w:val="24"/>
          <w:highlight w:val="none"/>
          <w:u w:val="single"/>
        </w:rPr>
        <w:t>（或者：服务全部由符合政策要求的中小企业承接）</w:t>
      </w:r>
      <w:r>
        <w:rPr>
          <w:rFonts w:hint="eastAsia" w:ascii="宋体" w:hAnsi="宋体" w:eastAsia="宋体" w:cs="宋体"/>
          <w:color w:val="auto"/>
          <w:sz w:val="24"/>
          <w:szCs w:val="24"/>
          <w:highlight w:val="none"/>
        </w:rPr>
        <w:t>。相关企业</w:t>
      </w:r>
      <w:r>
        <w:rPr>
          <w:rFonts w:hint="eastAsia" w:ascii="宋体" w:hAnsi="宋体" w:eastAsia="宋体" w:cs="宋体"/>
          <w:color w:val="auto"/>
          <w:sz w:val="24"/>
          <w:szCs w:val="24"/>
          <w:highlight w:val="none"/>
          <w:u w:val="single"/>
        </w:rPr>
        <w:t>（含联合 体中的中小企业、签订分包意向协议的中小企业）</w:t>
      </w:r>
      <w:r>
        <w:rPr>
          <w:rFonts w:hint="eastAsia" w:ascii="宋体" w:hAnsi="宋体" w:eastAsia="宋体" w:cs="宋体"/>
          <w:color w:val="auto"/>
          <w:sz w:val="24"/>
          <w:szCs w:val="24"/>
          <w:highlight w:val="none"/>
        </w:rPr>
        <w:t>的具体情 况如下：</w:t>
      </w:r>
    </w:p>
    <w:p w14:paraId="24DFB60B">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承建（承接）企业为（企业名称），从业人员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万元，属于（中型企业、小型企业、微型企业）； </w:t>
      </w:r>
    </w:p>
    <w:p w14:paraId="66980B3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u w:val="single"/>
        </w:rPr>
        <w:t>（标的名称）</w:t>
      </w:r>
      <w:r>
        <w:rPr>
          <w:rFonts w:hint="eastAsia" w:ascii="宋体" w:hAnsi="宋体" w:eastAsia="宋体" w:cs="宋体"/>
          <w:color w:val="auto"/>
          <w:sz w:val="24"/>
          <w:szCs w:val="24"/>
          <w:highlight w:val="none"/>
        </w:rPr>
        <w:t>，属于</w:t>
      </w:r>
      <w:r>
        <w:rPr>
          <w:rFonts w:hint="eastAsia" w:ascii="宋体" w:hAnsi="宋体" w:eastAsia="宋体" w:cs="宋体"/>
          <w:color w:val="auto"/>
          <w:sz w:val="24"/>
          <w:szCs w:val="24"/>
          <w:highlight w:val="none"/>
          <w:u w:val="single"/>
        </w:rPr>
        <w:t>（采购文件中明确的所属行业）</w:t>
      </w:r>
      <w:r>
        <w:rPr>
          <w:rFonts w:hint="eastAsia" w:ascii="宋体" w:hAnsi="宋体" w:eastAsia="宋体" w:cs="宋体"/>
          <w:color w:val="auto"/>
          <w:sz w:val="24"/>
          <w:szCs w:val="24"/>
          <w:highlight w:val="none"/>
        </w:rPr>
        <w:t>； 承建（承接）企业为</w:t>
      </w:r>
      <w:r>
        <w:rPr>
          <w:rFonts w:hint="eastAsia" w:ascii="宋体" w:hAnsi="宋体" w:eastAsia="宋体" w:cs="宋体"/>
          <w:color w:val="auto"/>
          <w:sz w:val="24"/>
          <w:szCs w:val="24"/>
          <w:highlight w:val="none"/>
          <w:u w:val="single"/>
        </w:rPr>
        <w:t>（企业名称）</w:t>
      </w:r>
      <w:r>
        <w:rPr>
          <w:rFonts w:hint="eastAsia" w:ascii="宋体" w:hAnsi="宋体" w:eastAsia="宋体" w:cs="宋体"/>
          <w:color w:val="auto"/>
          <w:sz w:val="24"/>
          <w:szCs w:val="24"/>
          <w:highlight w:val="none"/>
        </w:rPr>
        <w:t>，从业人员</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人，营业收入为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万元，资产总额为</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万元，属于</w:t>
      </w:r>
      <w:r>
        <w:rPr>
          <w:rFonts w:hint="eastAsia" w:ascii="宋体" w:hAnsi="宋体" w:eastAsia="宋体" w:cs="宋体"/>
          <w:i w:val="0"/>
          <w:iCs w:val="0"/>
          <w:color w:val="auto"/>
          <w:sz w:val="24"/>
          <w:szCs w:val="24"/>
          <w:highlight w:val="none"/>
          <w:u w:val="single"/>
        </w:rPr>
        <w:t>（中型企业、 小型企业、微型企业）</w:t>
      </w:r>
      <w:r>
        <w:rPr>
          <w:rFonts w:hint="eastAsia" w:ascii="宋体" w:hAnsi="宋体" w:eastAsia="宋体" w:cs="宋体"/>
          <w:color w:val="auto"/>
          <w:sz w:val="24"/>
          <w:szCs w:val="24"/>
          <w:highlight w:val="none"/>
        </w:rPr>
        <w:t>； ……</w:t>
      </w:r>
    </w:p>
    <w:p w14:paraId="3F27AD30">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以上企业，不属于大企业的分支机构，不存在控股股东 为大企业的情形，也不存在与大企业的负责人为同一人的情形。</w:t>
      </w:r>
    </w:p>
    <w:p w14:paraId="4800F43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本企业对上述声明内容的真实性负责。如有虚假，将依法承担相应责任。 </w:t>
      </w:r>
    </w:p>
    <w:p w14:paraId="3381A02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3600" w:firstLineChars="15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企业名称（盖章）： </w:t>
      </w:r>
    </w:p>
    <w:p w14:paraId="4472C79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Chars="0" w:firstLine="4800" w:firstLineChars="20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w:t>
      </w:r>
    </w:p>
    <w:p w14:paraId="2BD09BFB">
      <w:pPr>
        <w:pStyle w:val="2"/>
        <w:rPr>
          <w:rFonts w:hint="eastAsia" w:ascii="宋体" w:hAnsi="宋体" w:eastAsia="宋体" w:cs="宋体"/>
          <w:color w:val="auto"/>
          <w:sz w:val="24"/>
          <w:szCs w:val="24"/>
          <w:highlight w:val="none"/>
        </w:rPr>
      </w:pPr>
    </w:p>
    <w:p w14:paraId="51694673">
      <w:pPr>
        <w:pStyle w:val="3"/>
        <w:rPr>
          <w:rFonts w:hint="eastAsia" w:ascii="宋体" w:hAnsi="宋体" w:eastAsia="宋体" w:cs="宋体"/>
          <w:color w:val="auto"/>
          <w:sz w:val="24"/>
          <w:szCs w:val="24"/>
          <w:highlight w:val="none"/>
        </w:rPr>
      </w:pPr>
    </w:p>
    <w:p w14:paraId="54B3D499">
      <w:pPr>
        <w:rPr>
          <w:rFonts w:hint="eastAsia" w:ascii="宋体" w:hAnsi="宋体" w:eastAsia="宋体" w:cs="宋体"/>
          <w:color w:val="auto"/>
          <w:sz w:val="24"/>
          <w:szCs w:val="24"/>
          <w:highlight w:val="none"/>
        </w:rPr>
      </w:pPr>
    </w:p>
    <w:p w14:paraId="3A39BCC5">
      <w:pPr>
        <w:pStyle w:val="2"/>
        <w:rPr>
          <w:rFonts w:hint="eastAsia" w:ascii="宋体" w:hAnsi="宋体" w:eastAsia="宋体" w:cs="宋体"/>
          <w:color w:val="auto"/>
          <w:sz w:val="24"/>
          <w:szCs w:val="24"/>
          <w:highlight w:val="none"/>
        </w:rPr>
      </w:pPr>
    </w:p>
    <w:p w14:paraId="6377EE28">
      <w:pPr>
        <w:pStyle w:val="3"/>
        <w:rPr>
          <w:rFonts w:hint="eastAsia"/>
          <w:color w:val="auto"/>
          <w:highlight w:val="none"/>
        </w:rPr>
      </w:pPr>
    </w:p>
    <w:p w14:paraId="72F29914">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注：1.从业人员、营业收入、资产总额填报上一年度数据，无上一年度数据的新成立企业可不填报。</w:t>
      </w:r>
    </w:p>
    <w:p w14:paraId="7DF5082F">
      <w:pPr>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default" w:ascii="Times New Roman" w:hAnsi="Times New Roman" w:eastAsia="宋体" w:cs="Times New Roman"/>
          <w:color w:val="auto"/>
          <w:highlight w:val="none"/>
          <w:lang w:val="en-US" w:eastAsia="zh-CN"/>
        </w:rPr>
      </w:pPr>
      <w:r>
        <w:rPr>
          <w:rFonts w:hint="eastAsia" w:ascii="Times New Roman" w:hAnsi="Times New Roman" w:eastAsia="宋体" w:cs="Times New Roman"/>
          <w:color w:val="auto"/>
          <w:highlight w:val="none"/>
          <w:lang w:val="en-US" w:eastAsia="zh-CN"/>
        </w:rPr>
        <w:t>2.本项目如是只面向中小企业采购的应当必须提供。</w:t>
      </w:r>
    </w:p>
    <w:p w14:paraId="09D1CAE1">
      <w:pPr>
        <w:keepNext w:val="0"/>
        <w:keepLines w:val="0"/>
        <w:pageBreakBefore w:val="0"/>
        <w:widowControl w:val="0"/>
        <w:kinsoku/>
        <w:wordWrap/>
        <w:overflowPunct/>
        <w:topLinePunct w:val="0"/>
        <w:autoSpaceDE/>
        <w:autoSpaceDN/>
        <w:bidi w:val="0"/>
        <w:adjustRightInd/>
        <w:snapToGrid/>
        <w:spacing w:line="360" w:lineRule="auto"/>
        <w:textAlignment w:val="auto"/>
        <w:rPr>
          <w:rFonts w:hint="default" w:ascii="宋体" w:hAnsi="宋体" w:eastAsia="宋体" w:cs="宋体"/>
          <w:color w:val="auto"/>
          <w:sz w:val="24"/>
          <w:szCs w:val="28"/>
          <w:highlight w:val="none"/>
          <w:lang w:val="en-US" w:eastAsia="zh-CN"/>
        </w:rPr>
      </w:pPr>
    </w:p>
    <w:p w14:paraId="55D53762">
      <w:pPr>
        <w:rPr>
          <w:rFonts w:hint="eastAsia" w:ascii="宋体" w:hAnsi="宋体" w:eastAsia="宋体" w:cs="宋体"/>
          <w:color w:val="auto"/>
          <w:sz w:val="28"/>
          <w:szCs w:val="28"/>
          <w:highlight w:val="none"/>
        </w:rPr>
      </w:pPr>
    </w:p>
    <w:p w14:paraId="180CBECC">
      <w:pPr>
        <w:rPr>
          <w:rFonts w:hint="eastAsia" w:ascii="宋体" w:hAnsi="宋体" w:eastAsia="宋体" w:cs="宋体"/>
          <w:color w:val="auto"/>
          <w:sz w:val="28"/>
          <w:szCs w:val="28"/>
          <w:highlight w:val="none"/>
        </w:rPr>
      </w:pPr>
      <w:bookmarkStart w:id="198" w:name="_Toc220232403"/>
    </w:p>
    <w:p w14:paraId="56716C09">
      <w:pPr>
        <w:rPr>
          <w:rFonts w:hint="eastAsia" w:ascii="宋体" w:hAnsi="宋体" w:eastAsia="宋体" w:cs="宋体"/>
          <w:color w:val="auto"/>
          <w:sz w:val="28"/>
          <w:szCs w:val="28"/>
          <w:highlight w:val="none"/>
        </w:rPr>
      </w:pPr>
    </w:p>
    <w:bookmarkEnd w:id="198"/>
    <w:p w14:paraId="172A79BB">
      <w:pPr>
        <w:pStyle w:val="6"/>
        <w:jc w:val="both"/>
        <w:rPr>
          <w:rFonts w:hint="eastAsia" w:ascii="宋体" w:hAnsi="宋体" w:eastAsia="宋体" w:cs="宋体"/>
          <w:color w:val="auto"/>
          <w:sz w:val="36"/>
          <w:szCs w:val="36"/>
          <w:highlight w:val="none"/>
        </w:rPr>
      </w:pPr>
      <w:bookmarkStart w:id="199" w:name="_Hlt526418103"/>
      <w:bookmarkEnd w:id="199"/>
      <w:bookmarkStart w:id="200" w:name="_Hlt526418111"/>
      <w:bookmarkEnd w:id="200"/>
      <w:bookmarkStart w:id="201" w:name="_Toc220232405"/>
      <w:bookmarkStart w:id="202" w:name="_Toc516969110"/>
      <w:bookmarkStart w:id="203" w:name="_Toc2532_WPSOffice_Level2"/>
      <w:r>
        <w:rPr>
          <w:rFonts w:hint="eastAsia" w:ascii="宋体" w:hAnsi="宋体" w:eastAsia="宋体" w:cs="宋体"/>
          <w:color w:val="auto"/>
          <w:sz w:val="28"/>
          <w:highlight w:val="none"/>
        </w:rPr>
        <w:br w:type="page"/>
      </w:r>
      <w:bookmarkStart w:id="204" w:name="_Toc2639"/>
      <w:bookmarkStart w:id="205" w:name="_Toc3638"/>
      <w:bookmarkStart w:id="206" w:name="_Toc40975458"/>
      <w:bookmarkStart w:id="207" w:name="_Toc10948"/>
      <w:r>
        <w:rPr>
          <w:rFonts w:hint="eastAsia" w:ascii="宋体" w:hAnsi="宋体" w:eastAsia="宋体" w:cs="宋体"/>
          <w:color w:val="auto"/>
          <w:sz w:val="28"/>
          <w:highlight w:val="none"/>
          <w:lang w:eastAsia="zh-CN"/>
        </w:rPr>
        <w:t>九</w:t>
      </w:r>
      <w:r>
        <w:rPr>
          <w:rFonts w:hint="eastAsia" w:ascii="宋体" w:hAnsi="宋体" w:eastAsia="宋体" w:cs="宋体"/>
          <w:color w:val="auto"/>
          <w:sz w:val="28"/>
          <w:highlight w:val="none"/>
        </w:rPr>
        <w:t>．售后服务</w:t>
      </w:r>
      <w:bookmarkEnd w:id="201"/>
      <w:bookmarkEnd w:id="202"/>
      <w:bookmarkEnd w:id="203"/>
      <w:bookmarkEnd w:id="204"/>
      <w:bookmarkEnd w:id="205"/>
      <w:bookmarkEnd w:id="206"/>
      <w:bookmarkEnd w:id="207"/>
    </w:p>
    <w:p w14:paraId="7AD3B50A">
      <w:pPr>
        <w:jc w:val="center"/>
        <w:rPr>
          <w:rFonts w:hint="eastAsia" w:ascii="宋体" w:hAnsi="宋体" w:eastAsia="宋体" w:cs="宋体"/>
          <w:color w:val="auto"/>
          <w:sz w:val="28"/>
          <w:highlight w:val="none"/>
        </w:rPr>
      </w:pPr>
      <w:r>
        <w:rPr>
          <w:rFonts w:hint="eastAsia" w:ascii="宋体" w:hAnsi="宋体" w:eastAsia="宋体" w:cs="宋体"/>
          <w:color w:val="auto"/>
          <w:sz w:val="24"/>
          <w:highlight w:val="none"/>
        </w:rPr>
        <w:t>(投标人可自行制作格式)</w:t>
      </w:r>
    </w:p>
    <w:p w14:paraId="7F15355E">
      <w:pPr>
        <w:spacing w:line="500" w:lineRule="exact"/>
        <w:jc w:val="center"/>
        <w:rPr>
          <w:rFonts w:hint="eastAsia" w:ascii="宋体" w:hAnsi="宋体" w:eastAsia="宋体" w:cs="宋体"/>
          <w:b/>
          <w:bCs/>
          <w:color w:val="auto"/>
          <w:sz w:val="30"/>
          <w:highlight w:val="none"/>
        </w:rPr>
      </w:pPr>
      <w:bookmarkStart w:id="208" w:name="_Hlt526418107"/>
      <w:bookmarkEnd w:id="208"/>
    </w:p>
    <w:p w14:paraId="430132EA">
      <w:pPr>
        <w:pStyle w:val="6"/>
        <w:rPr>
          <w:rFonts w:hint="eastAsia" w:ascii="宋体" w:hAnsi="宋体" w:eastAsia="宋体" w:cs="宋体"/>
          <w:color w:val="auto"/>
          <w:sz w:val="44"/>
          <w:highlight w:val="none"/>
        </w:rPr>
      </w:pPr>
      <w:bookmarkStart w:id="209" w:name="_Toc40975459"/>
      <w:bookmarkStart w:id="210" w:name="_Toc26966"/>
      <w:bookmarkStart w:id="211" w:name="_Hlt509738384"/>
      <w:bookmarkStart w:id="212" w:name="_Toc27099"/>
      <w:bookmarkStart w:id="213" w:name="_Toc359404312"/>
      <w:bookmarkStart w:id="214" w:name="_Toc516969111"/>
      <w:bookmarkStart w:id="215" w:name="_Toc197934560"/>
      <w:bookmarkStart w:id="216" w:name="_Toc30338_WPSOffice_Level2"/>
      <w:bookmarkStart w:id="217" w:name="_Toc10813"/>
      <w:r>
        <w:rPr>
          <w:rFonts w:hint="eastAsia" w:ascii="宋体" w:hAnsi="宋体" w:eastAsia="宋体" w:cs="宋体"/>
          <w:color w:val="auto"/>
          <w:sz w:val="28"/>
          <w:highlight w:val="none"/>
        </w:rPr>
        <w:t>十、所投</w:t>
      </w:r>
      <w:r>
        <w:rPr>
          <w:rFonts w:hint="eastAsia" w:ascii="宋体" w:hAnsi="宋体" w:eastAsia="宋体" w:cs="宋体"/>
          <w:color w:val="auto"/>
          <w:sz w:val="28"/>
          <w:highlight w:val="none"/>
          <w:lang w:eastAsia="zh-CN"/>
        </w:rPr>
        <w:t>服务</w:t>
      </w:r>
      <w:r>
        <w:rPr>
          <w:rFonts w:hint="eastAsia" w:ascii="宋体" w:hAnsi="宋体" w:eastAsia="宋体" w:cs="宋体"/>
          <w:color w:val="auto"/>
          <w:sz w:val="28"/>
          <w:highlight w:val="none"/>
        </w:rPr>
        <w:t>的技术资料等</w:t>
      </w:r>
      <w:bookmarkEnd w:id="209"/>
      <w:bookmarkEnd w:id="210"/>
      <w:bookmarkEnd w:id="211"/>
      <w:bookmarkEnd w:id="212"/>
      <w:bookmarkEnd w:id="213"/>
      <w:bookmarkEnd w:id="214"/>
      <w:bookmarkEnd w:id="215"/>
      <w:bookmarkEnd w:id="216"/>
      <w:bookmarkEnd w:id="217"/>
      <w:bookmarkStart w:id="218" w:name="_Hlt509650291"/>
      <w:bookmarkEnd w:id="218"/>
    </w:p>
    <w:p w14:paraId="05E48424">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（投标人可自行制作格式，可附产品技术彩页）</w:t>
      </w:r>
    </w:p>
    <w:p w14:paraId="78901774">
      <w:pPr>
        <w:jc w:val="center"/>
        <w:rPr>
          <w:rFonts w:hint="eastAsia" w:ascii="宋体" w:hAnsi="宋体" w:eastAsia="宋体" w:cs="宋体"/>
          <w:color w:val="auto"/>
          <w:sz w:val="24"/>
          <w:highlight w:val="none"/>
        </w:rPr>
      </w:pPr>
    </w:p>
    <w:p w14:paraId="409060ED">
      <w:pPr>
        <w:jc w:val="center"/>
        <w:rPr>
          <w:rFonts w:hint="eastAsia" w:ascii="宋体" w:hAnsi="宋体" w:eastAsia="宋体" w:cs="宋体"/>
          <w:color w:val="auto"/>
          <w:sz w:val="24"/>
          <w:highlight w:val="none"/>
        </w:rPr>
      </w:pPr>
    </w:p>
    <w:p w14:paraId="214CD2DB">
      <w:pPr>
        <w:jc w:val="center"/>
        <w:rPr>
          <w:rFonts w:hint="eastAsia" w:ascii="宋体" w:hAnsi="宋体" w:eastAsia="宋体" w:cs="宋体"/>
          <w:color w:val="auto"/>
          <w:sz w:val="24"/>
          <w:highlight w:val="none"/>
        </w:rPr>
      </w:pPr>
    </w:p>
    <w:p w14:paraId="104B1422">
      <w:pPr>
        <w:pStyle w:val="6"/>
        <w:rPr>
          <w:rFonts w:hint="eastAsia" w:ascii="宋体" w:hAnsi="宋体" w:eastAsia="宋体" w:cs="宋体"/>
          <w:color w:val="auto"/>
          <w:sz w:val="28"/>
          <w:highlight w:val="none"/>
        </w:rPr>
      </w:pPr>
      <w:bookmarkStart w:id="219" w:name="_Toc10283"/>
      <w:bookmarkStart w:id="220" w:name="_Toc1814"/>
      <w:bookmarkStart w:id="221" w:name="_Toc17042"/>
      <w:r>
        <w:rPr>
          <w:rFonts w:hint="eastAsia" w:ascii="宋体" w:hAnsi="宋体" w:eastAsia="宋体" w:cs="宋体"/>
          <w:color w:val="auto"/>
          <w:sz w:val="28"/>
          <w:highlight w:val="none"/>
        </w:rPr>
        <w:t>十</w:t>
      </w:r>
      <w:r>
        <w:rPr>
          <w:rFonts w:hint="eastAsia" w:ascii="宋体" w:hAnsi="宋体" w:eastAsia="宋体" w:cs="宋体"/>
          <w:color w:val="auto"/>
          <w:sz w:val="28"/>
          <w:highlight w:val="none"/>
          <w:lang w:eastAsia="zh-CN"/>
        </w:rPr>
        <w:t>一</w:t>
      </w:r>
      <w:r>
        <w:rPr>
          <w:rFonts w:hint="eastAsia" w:ascii="宋体" w:hAnsi="宋体" w:eastAsia="宋体" w:cs="宋体"/>
          <w:color w:val="auto"/>
          <w:sz w:val="28"/>
          <w:highlight w:val="none"/>
        </w:rPr>
        <w:t>、其他投标人认为需要提供得材料等</w:t>
      </w:r>
      <w:bookmarkEnd w:id="219"/>
      <w:bookmarkEnd w:id="220"/>
      <w:bookmarkEnd w:id="221"/>
    </w:p>
    <w:p w14:paraId="2B77FFA4">
      <w:pPr>
        <w:pStyle w:val="6"/>
        <w:rPr>
          <w:rFonts w:hint="eastAsia" w:ascii="宋体" w:hAnsi="宋体" w:eastAsia="宋体" w:cs="宋体"/>
          <w:color w:val="auto"/>
          <w:sz w:val="28"/>
          <w:highlight w:val="none"/>
        </w:rPr>
      </w:pPr>
    </w:p>
    <w:p w14:paraId="5514F709">
      <w:pPr>
        <w:jc w:val="center"/>
        <w:rPr>
          <w:rFonts w:hint="eastAsia" w:ascii="宋体" w:hAnsi="宋体" w:eastAsia="宋体" w:cs="宋体"/>
          <w:color w:val="auto"/>
          <w:sz w:val="24"/>
          <w:highlight w:val="none"/>
        </w:rPr>
      </w:pPr>
    </w:p>
    <w:p w14:paraId="4F9A4EFD">
      <w:pPr>
        <w:jc w:val="center"/>
        <w:rPr>
          <w:rFonts w:hint="eastAsia" w:ascii="宋体" w:hAnsi="宋体" w:eastAsia="宋体" w:cs="宋体"/>
          <w:color w:val="auto"/>
          <w:sz w:val="24"/>
          <w:highlight w:val="none"/>
        </w:rPr>
      </w:pPr>
    </w:p>
    <w:p w14:paraId="0581C8F8">
      <w:pPr>
        <w:jc w:val="center"/>
        <w:rPr>
          <w:rFonts w:hint="eastAsia" w:ascii="宋体" w:hAnsi="宋体" w:eastAsia="宋体" w:cs="宋体"/>
          <w:color w:val="auto"/>
          <w:sz w:val="24"/>
          <w:highlight w:val="none"/>
        </w:rPr>
      </w:pPr>
    </w:p>
    <w:p w14:paraId="3A30796C">
      <w:pPr>
        <w:jc w:val="center"/>
        <w:rPr>
          <w:rFonts w:hint="eastAsia" w:ascii="宋体" w:hAnsi="宋体" w:eastAsia="宋体" w:cs="宋体"/>
          <w:color w:val="auto"/>
          <w:sz w:val="24"/>
          <w:highlight w:val="none"/>
        </w:rPr>
      </w:pPr>
    </w:p>
    <w:p w14:paraId="683E3626">
      <w:pPr>
        <w:jc w:val="center"/>
        <w:rPr>
          <w:rFonts w:hint="eastAsia" w:ascii="宋体" w:hAnsi="宋体" w:eastAsia="宋体" w:cs="宋体"/>
          <w:color w:val="auto"/>
          <w:sz w:val="24"/>
          <w:highlight w:val="none"/>
        </w:rPr>
      </w:pPr>
    </w:p>
    <w:p w14:paraId="43804695">
      <w:pPr>
        <w:jc w:val="center"/>
        <w:rPr>
          <w:rFonts w:hint="eastAsia" w:ascii="宋体" w:hAnsi="宋体" w:eastAsia="宋体" w:cs="宋体"/>
          <w:color w:val="auto"/>
          <w:sz w:val="24"/>
          <w:highlight w:val="none"/>
        </w:rPr>
      </w:pPr>
    </w:p>
    <w:p w14:paraId="63753DE8">
      <w:pPr>
        <w:jc w:val="center"/>
        <w:rPr>
          <w:rFonts w:hint="eastAsia" w:ascii="宋体" w:hAnsi="宋体" w:eastAsia="宋体" w:cs="宋体"/>
          <w:color w:val="auto"/>
          <w:sz w:val="24"/>
          <w:highlight w:val="none"/>
        </w:rPr>
      </w:pPr>
    </w:p>
    <w:p w14:paraId="705EE6D1">
      <w:pPr>
        <w:jc w:val="center"/>
        <w:rPr>
          <w:rFonts w:hint="eastAsia" w:ascii="宋体" w:hAnsi="宋体" w:eastAsia="宋体" w:cs="宋体"/>
          <w:color w:val="auto"/>
          <w:sz w:val="24"/>
          <w:highlight w:val="none"/>
        </w:rPr>
      </w:pPr>
    </w:p>
    <w:p w14:paraId="75D94758">
      <w:pPr>
        <w:jc w:val="center"/>
        <w:rPr>
          <w:rFonts w:hint="eastAsia" w:ascii="宋体" w:hAnsi="宋体" w:eastAsia="宋体" w:cs="宋体"/>
          <w:color w:val="auto"/>
          <w:sz w:val="24"/>
          <w:highlight w:val="none"/>
        </w:rPr>
      </w:pPr>
    </w:p>
    <w:p w14:paraId="27C10553">
      <w:pPr>
        <w:jc w:val="center"/>
        <w:rPr>
          <w:rFonts w:hint="eastAsia" w:ascii="宋体" w:hAnsi="宋体" w:eastAsia="宋体" w:cs="宋体"/>
          <w:color w:val="auto"/>
          <w:sz w:val="24"/>
          <w:highlight w:val="none"/>
        </w:rPr>
      </w:pPr>
    </w:p>
    <w:p w14:paraId="555D2E61">
      <w:pPr>
        <w:jc w:val="center"/>
        <w:rPr>
          <w:rFonts w:hint="eastAsia" w:ascii="宋体" w:hAnsi="宋体" w:eastAsia="宋体" w:cs="宋体"/>
          <w:color w:val="auto"/>
          <w:sz w:val="24"/>
          <w:highlight w:val="none"/>
        </w:rPr>
      </w:pPr>
    </w:p>
    <w:p w14:paraId="06D8A5B0">
      <w:pPr>
        <w:jc w:val="center"/>
        <w:rPr>
          <w:rFonts w:hint="eastAsia" w:ascii="宋体" w:hAnsi="宋体" w:eastAsia="宋体" w:cs="宋体"/>
          <w:color w:val="auto"/>
          <w:sz w:val="24"/>
          <w:highlight w:val="none"/>
        </w:rPr>
      </w:pPr>
    </w:p>
    <w:p w14:paraId="79A4CCA2">
      <w:pPr>
        <w:pStyle w:val="17"/>
        <w:rPr>
          <w:rFonts w:hint="eastAsia" w:ascii="宋体" w:hAnsi="宋体" w:eastAsia="宋体" w:cs="宋体"/>
          <w:color w:val="auto"/>
          <w:highlight w:val="none"/>
        </w:rPr>
      </w:pPr>
    </w:p>
    <w:p w14:paraId="436391C5">
      <w:pPr>
        <w:pStyle w:val="17"/>
        <w:rPr>
          <w:rFonts w:hint="eastAsia" w:ascii="宋体" w:hAnsi="宋体" w:eastAsia="宋体" w:cs="宋体"/>
          <w:color w:val="auto"/>
          <w:highlight w:val="none"/>
        </w:rPr>
      </w:pPr>
    </w:p>
    <w:p w14:paraId="3573D742">
      <w:pPr>
        <w:pStyle w:val="17"/>
        <w:rPr>
          <w:rFonts w:hint="eastAsia" w:ascii="宋体" w:hAnsi="宋体" w:eastAsia="宋体" w:cs="宋体"/>
          <w:color w:val="auto"/>
          <w:highlight w:val="none"/>
        </w:rPr>
      </w:pPr>
    </w:p>
    <w:p w14:paraId="425CEF30">
      <w:pPr>
        <w:pStyle w:val="17"/>
        <w:rPr>
          <w:rFonts w:hint="eastAsia" w:ascii="宋体" w:hAnsi="宋体" w:eastAsia="宋体" w:cs="宋体"/>
          <w:color w:val="auto"/>
          <w:highlight w:val="none"/>
        </w:rPr>
      </w:pPr>
    </w:p>
    <w:p w14:paraId="584814FC">
      <w:pPr>
        <w:pStyle w:val="17"/>
        <w:rPr>
          <w:rFonts w:hint="eastAsia" w:ascii="宋体" w:hAnsi="宋体" w:eastAsia="宋体" w:cs="宋体"/>
          <w:color w:val="auto"/>
          <w:highlight w:val="none"/>
        </w:rPr>
      </w:pPr>
    </w:p>
    <w:p w14:paraId="202BFB02">
      <w:pPr>
        <w:pStyle w:val="17"/>
        <w:rPr>
          <w:rFonts w:hint="eastAsia" w:ascii="宋体" w:hAnsi="宋体" w:eastAsia="宋体" w:cs="宋体"/>
          <w:color w:val="auto"/>
          <w:highlight w:val="none"/>
        </w:rPr>
      </w:pPr>
    </w:p>
    <w:p w14:paraId="24AF3455">
      <w:pPr>
        <w:pStyle w:val="17"/>
        <w:rPr>
          <w:rFonts w:hint="eastAsia" w:ascii="宋体" w:hAnsi="宋体" w:eastAsia="宋体" w:cs="宋体"/>
          <w:color w:val="auto"/>
          <w:highlight w:val="none"/>
        </w:rPr>
      </w:pPr>
    </w:p>
    <w:p w14:paraId="04A8E5D5">
      <w:pPr>
        <w:jc w:val="center"/>
        <w:rPr>
          <w:rFonts w:hint="eastAsia" w:ascii="宋体" w:hAnsi="宋体" w:eastAsia="宋体" w:cs="宋体"/>
          <w:color w:val="auto"/>
          <w:sz w:val="24"/>
          <w:highlight w:val="none"/>
        </w:rPr>
      </w:pPr>
    </w:p>
    <w:p w14:paraId="2F5248EF">
      <w:pPr>
        <w:jc w:val="center"/>
        <w:rPr>
          <w:rFonts w:hint="eastAsia" w:ascii="宋体" w:hAnsi="宋体" w:eastAsia="宋体" w:cs="宋体"/>
          <w:color w:val="auto"/>
          <w:sz w:val="24"/>
          <w:highlight w:val="none"/>
        </w:rPr>
      </w:pPr>
    </w:p>
    <w:p w14:paraId="628A28DB">
      <w:pPr>
        <w:jc w:val="center"/>
        <w:rPr>
          <w:rFonts w:hint="eastAsia" w:ascii="宋体" w:hAnsi="宋体" w:eastAsia="宋体" w:cs="宋体"/>
          <w:color w:val="auto"/>
          <w:sz w:val="24"/>
          <w:highlight w:val="none"/>
        </w:rPr>
      </w:pPr>
    </w:p>
    <w:p w14:paraId="483740A2">
      <w:pPr>
        <w:jc w:val="center"/>
        <w:rPr>
          <w:rFonts w:hint="eastAsia" w:ascii="宋体" w:hAnsi="宋体" w:eastAsia="宋体" w:cs="宋体"/>
          <w:color w:val="auto"/>
          <w:sz w:val="24"/>
          <w:highlight w:val="none"/>
        </w:rPr>
      </w:pPr>
    </w:p>
    <w:p w14:paraId="61DE00A8">
      <w:pPr>
        <w:jc w:val="center"/>
        <w:rPr>
          <w:rFonts w:hint="eastAsia" w:ascii="宋体" w:hAnsi="宋体" w:eastAsia="宋体" w:cs="宋体"/>
          <w:color w:val="auto"/>
          <w:sz w:val="24"/>
          <w:highlight w:val="none"/>
        </w:rPr>
      </w:pPr>
    </w:p>
    <w:p w14:paraId="1B465F0D">
      <w:pPr>
        <w:pStyle w:val="17"/>
        <w:rPr>
          <w:rFonts w:hint="eastAsia" w:ascii="宋体" w:hAnsi="宋体" w:eastAsia="宋体" w:cs="宋体"/>
          <w:color w:val="auto"/>
          <w:highlight w:val="none"/>
        </w:rPr>
      </w:pPr>
    </w:p>
    <w:p w14:paraId="59CFA4C0">
      <w:pPr>
        <w:pStyle w:val="17"/>
        <w:rPr>
          <w:rFonts w:hint="eastAsia" w:ascii="宋体" w:hAnsi="宋体" w:eastAsia="宋体" w:cs="宋体"/>
          <w:color w:val="auto"/>
          <w:highlight w:val="none"/>
        </w:rPr>
      </w:pPr>
    </w:p>
    <w:p w14:paraId="7075EC20">
      <w:pPr>
        <w:pStyle w:val="17"/>
        <w:rPr>
          <w:rFonts w:hint="eastAsia" w:ascii="宋体" w:hAnsi="宋体" w:eastAsia="宋体" w:cs="宋体"/>
          <w:color w:val="auto"/>
          <w:highlight w:val="none"/>
        </w:rPr>
      </w:pPr>
    </w:p>
    <w:p w14:paraId="0D34AF2F">
      <w:pPr>
        <w:pStyle w:val="21"/>
        <w:ind w:right="-21" w:firstLine="0" w:firstLineChars="0"/>
        <w:rPr>
          <w:rFonts w:hint="eastAsia" w:ascii="宋体" w:hAnsi="宋体" w:eastAsia="宋体" w:cs="宋体"/>
          <w:color w:val="auto"/>
          <w:highlight w:val="none"/>
        </w:rPr>
      </w:pPr>
    </w:p>
    <w:p w14:paraId="4BAD590F">
      <w:pPr>
        <w:spacing w:line="380" w:lineRule="exact"/>
        <w:jc w:val="center"/>
        <w:rPr>
          <w:rFonts w:hint="eastAsia" w:ascii="宋体" w:hAnsi="宋体" w:eastAsia="宋体" w:cs="宋体"/>
          <w:b/>
          <w:color w:val="auto"/>
          <w:sz w:val="28"/>
          <w:szCs w:val="28"/>
          <w:highlight w:val="none"/>
        </w:rPr>
      </w:pPr>
      <w:r>
        <w:rPr>
          <w:rFonts w:hint="eastAsia" w:ascii="宋体" w:hAnsi="宋体" w:eastAsia="宋体" w:cs="宋体"/>
          <w:b/>
          <w:color w:val="auto"/>
          <w:sz w:val="28"/>
          <w:szCs w:val="28"/>
          <w:highlight w:val="none"/>
        </w:rPr>
        <w:t>十二、政府采购供应商诚信承诺书</w:t>
      </w:r>
    </w:p>
    <w:p w14:paraId="20C7FE53">
      <w:pPr>
        <w:spacing w:line="380" w:lineRule="exact"/>
        <w:jc w:val="center"/>
        <w:rPr>
          <w:rFonts w:hint="eastAsia" w:ascii="宋体" w:hAnsi="宋体" w:eastAsia="宋体" w:cs="宋体"/>
          <w:b/>
          <w:color w:val="auto"/>
          <w:sz w:val="24"/>
          <w:highlight w:val="none"/>
        </w:rPr>
      </w:pPr>
    </w:p>
    <w:p w14:paraId="1BA0E816">
      <w:pPr>
        <w:spacing w:line="380" w:lineRule="exact"/>
        <w:ind w:firstLine="480" w:firstLineChars="200"/>
        <w:rPr>
          <w:rFonts w:hint="eastAsia" w:ascii="宋体" w:hAnsi="宋体" w:eastAsia="宋体" w:cs="宋体"/>
          <w:color w:val="auto"/>
          <w:sz w:val="24"/>
          <w:highlight w:val="none"/>
        </w:rPr>
      </w:pPr>
      <w:r>
        <w:rPr>
          <w:rFonts w:hint="eastAsia" w:ascii="宋体" w:hAnsi="宋体" w:eastAsia="宋体" w:cs="宋体"/>
          <w:color w:val="auto"/>
          <w:sz w:val="24"/>
          <w:highlight w:val="none"/>
        </w:rPr>
        <w:t>我公司自愿参与政府采购活动，严格遵守《中华人民共和国政府采购法》等相关法律法规的规定，坚守公平竞争，并无条件地遵守采购活动的各项规定，我们郑重承诺：如果在政府采购招标活动中有以下情形的,愿接受政府采购监管部门给予相关处罚并承担法律责任。</w:t>
      </w:r>
    </w:p>
    <w:p w14:paraId="6CF510E0">
      <w:pPr>
        <w:spacing w:line="380" w:lineRule="exact"/>
        <w:ind w:firstLine="403" w:firstLineChars="168"/>
        <w:rPr>
          <w:rFonts w:hint="eastAsia" w:ascii="宋体" w:hAnsi="宋体" w:eastAsia="宋体" w:cs="宋体"/>
          <w:color w:val="auto"/>
          <w:sz w:val="24"/>
          <w:highlight w:val="none"/>
        </w:rPr>
      </w:pPr>
      <w:r>
        <w:rPr>
          <w:rFonts w:hint="eastAsia" w:ascii="宋体" w:hAnsi="宋体" w:eastAsia="宋体" w:cs="宋体"/>
          <w:color w:val="auto"/>
          <w:sz w:val="24"/>
          <w:highlight w:val="none"/>
        </w:rPr>
        <w:t>（一）提供虚假材料谋取中标;</w:t>
      </w:r>
    </w:p>
    <w:p w14:paraId="0FF568CD">
      <w:pPr>
        <w:spacing w:line="380" w:lineRule="exact"/>
        <w:ind w:firstLine="403" w:firstLineChars="168"/>
        <w:rPr>
          <w:rFonts w:hint="eastAsia" w:ascii="宋体" w:hAnsi="宋体" w:eastAsia="宋体" w:cs="宋体"/>
          <w:color w:val="auto"/>
          <w:sz w:val="24"/>
          <w:highlight w:val="none"/>
        </w:rPr>
      </w:pPr>
      <w:r>
        <w:rPr>
          <w:rFonts w:hint="eastAsia" w:ascii="宋体" w:hAnsi="宋体" w:eastAsia="宋体" w:cs="宋体"/>
          <w:color w:val="auto"/>
          <w:sz w:val="24"/>
          <w:highlight w:val="none"/>
        </w:rPr>
        <w:t>（二）采取不正当手段诋毁、排挤其他供应商;</w:t>
      </w:r>
    </w:p>
    <w:p w14:paraId="3B64FDF3">
      <w:pPr>
        <w:spacing w:line="380" w:lineRule="exact"/>
        <w:ind w:firstLine="403" w:firstLineChars="168"/>
        <w:rPr>
          <w:rFonts w:hint="eastAsia" w:ascii="宋体" w:hAnsi="宋体" w:eastAsia="宋体" w:cs="宋体"/>
          <w:color w:val="auto"/>
          <w:sz w:val="24"/>
          <w:highlight w:val="none"/>
        </w:rPr>
      </w:pPr>
      <w:r>
        <w:rPr>
          <w:rFonts w:hint="eastAsia" w:ascii="宋体" w:hAnsi="宋体" w:eastAsia="宋体" w:cs="宋体"/>
          <w:color w:val="auto"/>
          <w:sz w:val="24"/>
          <w:highlight w:val="none"/>
        </w:rPr>
        <w:t>（三）与招标采购单位、其他投标人恶意串通;</w:t>
      </w:r>
    </w:p>
    <w:p w14:paraId="038461F1">
      <w:pPr>
        <w:spacing w:line="380" w:lineRule="exact"/>
        <w:ind w:firstLine="403" w:firstLineChars="168"/>
        <w:rPr>
          <w:rFonts w:hint="eastAsia" w:ascii="宋体" w:hAnsi="宋体" w:eastAsia="宋体" w:cs="宋体"/>
          <w:color w:val="auto"/>
          <w:sz w:val="24"/>
          <w:highlight w:val="none"/>
        </w:rPr>
      </w:pPr>
      <w:r>
        <w:rPr>
          <w:rFonts w:hint="eastAsia" w:ascii="宋体" w:hAnsi="宋体" w:eastAsia="宋体" w:cs="宋体"/>
          <w:color w:val="auto"/>
          <w:sz w:val="24"/>
          <w:highlight w:val="none"/>
        </w:rPr>
        <w:t>（四）向招标采购单位或提供其他不正当利益;</w:t>
      </w:r>
    </w:p>
    <w:p w14:paraId="0525C41F">
      <w:pPr>
        <w:spacing w:line="380" w:lineRule="exact"/>
        <w:ind w:firstLine="403" w:firstLineChars="168"/>
        <w:rPr>
          <w:rFonts w:hint="eastAsia" w:ascii="宋体" w:hAnsi="宋体" w:eastAsia="宋体" w:cs="宋体"/>
          <w:color w:val="auto"/>
          <w:sz w:val="24"/>
          <w:highlight w:val="none"/>
        </w:rPr>
      </w:pPr>
      <w:r>
        <w:rPr>
          <w:rFonts w:hint="eastAsia" w:ascii="宋体" w:hAnsi="宋体" w:eastAsia="宋体" w:cs="宋体"/>
          <w:color w:val="auto"/>
          <w:sz w:val="24"/>
          <w:highlight w:val="none"/>
        </w:rPr>
        <w:t>（五）在招标过程中与招标采购单位进行协商谈判、不按照招标文件和投标文件订立合同，或者与采购人另立背离合同实质性内容协议;</w:t>
      </w:r>
    </w:p>
    <w:p w14:paraId="26F9E7E9">
      <w:pPr>
        <w:spacing w:line="380" w:lineRule="exact"/>
        <w:ind w:firstLine="403" w:firstLineChars="168"/>
        <w:rPr>
          <w:rFonts w:hint="eastAsia" w:ascii="宋体" w:hAnsi="宋体" w:eastAsia="宋体" w:cs="宋体"/>
          <w:color w:val="auto"/>
          <w:sz w:val="24"/>
          <w:highlight w:val="none"/>
        </w:rPr>
      </w:pPr>
      <w:r>
        <w:rPr>
          <w:rFonts w:hint="eastAsia" w:ascii="宋体" w:hAnsi="宋体" w:eastAsia="宋体" w:cs="宋体"/>
          <w:color w:val="auto"/>
          <w:sz w:val="24"/>
          <w:highlight w:val="none"/>
        </w:rPr>
        <w:t>（六）开标后擅自撤销投标，影响招标继续进行的或领取招标文件纳投标保证金后不投标导致废标;</w:t>
      </w:r>
    </w:p>
    <w:p w14:paraId="1C268A31">
      <w:pPr>
        <w:spacing w:line="380" w:lineRule="exact"/>
        <w:ind w:firstLine="403" w:firstLineChars="168"/>
        <w:rPr>
          <w:rFonts w:hint="eastAsia" w:ascii="宋体" w:hAnsi="宋体" w:eastAsia="宋体" w:cs="宋体"/>
          <w:color w:val="auto"/>
          <w:sz w:val="24"/>
          <w:highlight w:val="none"/>
        </w:rPr>
      </w:pPr>
      <w:r>
        <w:rPr>
          <w:rFonts w:hint="eastAsia" w:ascii="宋体" w:hAnsi="宋体" w:eastAsia="宋体" w:cs="宋体"/>
          <w:color w:val="auto"/>
          <w:sz w:val="24"/>
          <w:highlight w:val="none"/>
        </w:rPr>
        <w:t>（七）中标后无正当理由，在规定时间内不与采购单位签订合同;</w:t>
      </w:r>
    </w:p>
    <w:p w14:paraId="38E2851D">
      <w:pPr>
        <w:spacing w:line="380" w:lineRule="exact"/>
        <w:ind w:firstLine="403" w:firstLineChars="168"/>
        <w:rPr>
          <w:rFonts w:hint="eastAsia" w:ascii="宋体" w:hAnsi="宋体" w:eastAsia="宋体" w:cs="宋体"/>
          <w:color w:val="auto"/>
          <w:sz w:val="24"/>
          <w:highlight w:val="none"/>
        </w:rPr>
      </w:pPr>
      <w:r>
        <w:rPr>
          <w:rFonts w:hint="eastAsia" w:ascii="宋体" w:hAnsi="宋体" w:eastAsia="宋体" w:cs="宋体"/>
          <w:color w:val="auto"/>
          <w:sz w:val="24"/>
          <w:highlight w:val="none"/>
        </w:rPr>
        <w:t>（八）将中标项目转让给他人或非法分包他人;</w:t>
      </w:r>
    </w:p>
    <w:p w14:paraId="418A880B">
      <w:pPr>
        <w:spacing w:line="380" w:lineRule="exact"/>
        <w:ind w:firstLine="403" w:firstLineChars="168"/>
        <w:rPr>
          <w:rFonts w:hint="eastAsia" w:ascii="宋体" w:hAnsi="宋体" w:eastAsia="宋体" w:cs="宋体"/>
          <w:color w:val="auto"/>
          <w:sz w:val="24"/>
          <w:highlight w:val="none"/>
        </w:rPr>
      </w:pPr>
      <w:r>
        <w:rPr>
          <w:rFonts w:hint="eastAsia" w:ascii="宋体" w:hAnsi="宋体" w:eastAsia="宋体" w:cs="宋体"/>
          <w:color w:val="auto"/>
          <w:sz w:val="24"/>
          <w:highlight w:val="none"/>
        </w:rPr>
        <w:t>（九）无正当理由，拒绝履行合同义务;</w:t>
      </w:r>
    </w:p>
    <w:p w14:paraId="479B7BBE">
      <w:pPr>
        <w:spacing w:line="380" w:lineRule="exact"/>
        <w:ind w:firstLine="403" w:firstLineChars="168"/>
        <w:rPr>
          <w:rFonts w:hint="eastAsia" w:ascii="宋体" w:hAnsi="宋体" w:eastAsia="宋体" w:cs="宋体"/>
          <w:color w:val="auto"/>
          <w:sz w:val="24"/>
          <w:highlight w:val="none"/>
        </w:rPr>
      </w:pPr>
      <w:r>
        <w:rPr>
          <w:rFonts w:hint="eastAsia" w:ascii="宋体" w:hAnsi="宋体" w:eastAsia="宋体" w:cs="宋体"/>
          <w:color w:val="auto"/>
          <w:sz w:val="24"/>
          <w:highlight w:val="none"/>
        </w:rPr>
        <w:t>（十）无正当理由放弃中标（成交）项目;</w:t>
      </w:r>
    </w:p>
    <w:p w14:paraId="7DB11B45">
      <w:pPr>
        <w:spacing w:line="380" w:lineRule="exact"/>
        <w:ind w:firstLine="403" w:firstLineChars="168"/>
        <w:rPr>
          <w:rFonts w:hint="eastAsia" w:ascii="宋体" w:hAnsi="宋体" w:eastAsia="宋体" w:cs="宋体"/>
          <w:color w:val="auto"/>
          <w:sz w:val="24"/>
          <w:highlight w:val="none"/>
        </w:rPr>
      </w:pPr>
      <w:r>
        <w:rPr>
          <w:rFonts w:hint="eastAsia" w:ascii="宋体" w:hAnsi="宋体" w:eastAsia="宋体" w:cs="宋体"/>
          <w:color w:val="auto"/>
          <w:sz w:val="24"/>
          <w:highlight w:val="none"/>
        </w:rPr>
        <w:t>（十ー）擅自或与与采购人串通或接受采购人要求，在履约合同中通过减少</w:t>
      </w:r>
      <w:r>
        <w:rPr>
          <w:rFonts w:hint="eastAsia" w:ascii="宋体" w:hAnsi="宋体" w:eastAsia="宋体" w:cs="宋体"/>
          <w:color w:val="auto"/>
          <w:sz w:val="24"/>
          <w:highlight w:val="none"/>
          <w:lang w:val="en-US" w:eastAsia="zh-CN"/>
        </w:rPr>
        <w:t>服务</w:t>
      </w:r>
      <w:r>
        <w:rPr>
          <w:rFonts w:hint="eastAsia" w:ascii="宋体" w:hAnsi="宋体" w:eastAsia="宋体" w:cs="宋体"/>
          <w:color w:val="auto"/>
          <w:sz w:val="24"/>
          <w:highlight w:val="none"/>
        </w:rPr>
        <w:t>数量，更服务标准等，却仍按原合同进行虚假验收或终止政府采购合同;</w:t>
      </w:r>
    </w:p>
    <w:p w14:paraId="3AA5F4F1">
      <w:pPr>
        <w:spacing w:line="380" w:lineRule="exact"/>
        <w:ind w:firstLine="403" w:firstLineChars="168"/>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（十二）与采购人串通，对尚未履约完毕的采购项目出具虚假验收报告；</w:t>
      </w:r>
    </w:p>
    <w:p w14:paraId="140CB314">
      <w:pPr>
        <w:spacing w:line="380" w:lineRule="exact"/>
        <w:ind w:firstLine="403" w:firstLineChars="168"/>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（十三）无不可抗力因素，拒绝提供售后服务、售后服务态度恶劣、故意提高维修配件价格（高于市场平均价）；</w:t>
      </w:r>
    </w:p>
    <w:p w14:paraId="4DBC2FA0">
      <w:pPr>
        <w:spacing w:line="380" w:lineRule="exact"/>
        <w:ind w:firstLine="360" w:firstLineChars="15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（十四）开标后对招标文件的相关内容再进行质疑；</w:t>
      </w:r>
    </w:p>
    <w:p w14:paraId="46F48963">
      <w:pPr>
        <w:spacing w:line="380" w:lineRule="exact"/>
        <w:ind w:firstLine="360" w:firstLineChars="15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（十五）恶意投诉的行为：投诉经查无实据的、捏造事实或者提供虚假设诉材料；</w:t>
      </w:r>
    </w:p>
    <w:p w14:paraId="5A445542">
      <w:pPr>
        <w:spacing w:line="380" w:lineRule="exact"/>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（十六）拒绝有关部门监督检查或者提供虚假情况；</w:t>
      </w:r>
    </w:p>
    <w:p w14:paraId="736BCC55">
      <w:pPr>
        <w:spacing w:line="380" w:lineRule="exact"/>
        <w:ind w:firstLine="240" w:firstLineChars="100"/>
        <w:jc w:val="left"/>
        <w:rPr>
          <w:rFonts w:hint="eastAsia" w:ascii="宋体" w:hAnsi="宋体" w:eastAsia="宋体" w:cs="宋体"/>
          <w:color w:val="auto"/>
          <w:sz w:val="24"/>
          <w:highlight w:val="none"/>
        </w:rPr>
      </w:pPr>
      <w:r>
        <w:rPr>
          <w:rFonts w:hint="eastAsia" w:ascii="宋体" w:hAnsi="宋体" w:eastAsia="宋体" w:cs="宋体"/>
          <w:color w:val="auto"/>
          <w:sz w:val="24"/>
          <w:highlight w:val="none"/>
        </w:rPr>
        <w:t>（十七）政府采购监管部门认定的其他政府采购活动中的不诚信行为。</w:t>
      </w:r>
    </w:p>
    <w:p w14:paraId="289802D2">
      <w:pPr>
        <w:spacing w:line="380" w:lineRule="exact"/>
        <w:jc w:val="center"/>
        <w:rPr>
          <w:rFonts w:hint="eastAsia" w:ascii="宋体" w:hAnsi="宋体" w:eastAsia="宋体" w:cs="宋体"/>
          <w:color w:val="auto"/>
          <w:sz w:val="24"/>
          <w:highlight w:val="none"/>
        </w:rPr>
      </w:pPr>
    </w:p>
    <w:p w14:paraId="4316608C">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供应商名称：（电子</w:t>
      </w:r>
      <w:r>
        <w:rPr>
          <w:rFonts w:hint="eastAsia" w:ascii="宋体" w:hAnsi="宋体" w:eastAsia="宋体" w:cs="宋体"/>
          <w:color w:val="auto"/>
          <w:sz w:val="24"/>
          <w:highlight w:val="none"/>
          <w:lang w:val="en-US" w:eastAsia="zh-CN"/>
        </w:rPr>
        <w:t>公</w:t>
      </w:r>
      <w:r>
        <w:rPr>
          <w:rFonts w:hint="eastAsia" w:ascii="宋体" w:hAnsi="宋体" w:eastAsia="宋体" w:cs="宋体"/>
          <w:color w:val="auto"/>
          <w:sz w:val="24"/>
          <w:highlight w:val="none"/>
        </w:rPr>
        <w:t>章）</w:t>
      </w:r>
    </w:p>
    <w:p w14:paraId="7DEB97AA">
      <w:pPr>
        <w:spacing w:line="380" w:lineRule="exact"/>
        <w:jc w:val="center"/>
        <w:rPr>
          <w:rFonts w:hint="eastAsia" w:ascii="宋体" w:hAnsi="宋体" w:eastAsia="宋体" w:cs="宋体"/>
          <w:color w:val="auto"/>
          <w:sz w:val="24"/>
          <w:highlight w:val="none"/>
          <w:lang w:val="en-US" w:eastAsia="zh-CN"/>
        </w:rPr>
      </w:pPr>
      <w:r>
        <w:rPr>
          <w:rFonts w:hint="eastAsia" w:ascii="宋体" w:hAnsi="宋体" w:eastAsia="宋体" w:cs="宋体"/>
          <w:color w:val="auto"/>
          <w:sz w:val="24"/>
          <w:highlight w:val="none"/>
          <w:lang w:val="en-US" w:eastAsia="zh-CN"/>
        </w:rPr>
        <w:t xml:space="preserve"> </w:t>
      </w:r>
    </w:p>
    <w:p w14:paraId="1AB81AB3">
      <w:pPr>
        <w:spacing w:line="380" w:lineRule="exact"/>
        <w:jc w:val="center"/>
        <w:rPr>
          <w:rFonts w:hint="eastAsia" w:ascii="宋体" w:hAnsi="宋体" w:eastAsia="宋体" w:cs="宋体"/>
          <w:color w:val="auto"/>
          <w:sz w:val="24"/>
          <w:highlight w:val="none"/>
        </w:rPr>
      </w:pPr>
    </w:p>
    <w:p w14:paraId="4FBB57C8">
      <w:pPr>
        <w:spacing w:line="380" w:lineRule="exact"/>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法人代表或授权委托人：（签</w:t>
      </w:r>
      <w:r>
        <w:rPr>
          <w:rFonts w:hint="eastAsia" w:ascii="宋体" w:hAnsi="宋体" w:eastAsia="宋体" w:cs="宋体"/>
          <w:color w:val="auto"/>
          <w:sz w:val="24"/>
          <w:highlight w:val="none"/>
          <w:lang w:val="en-US" w:eastAsia="zh-CN"/>
        </w:rPr>
        <w:t>字</w:t>
      </w:r>
      <w:r>
        <w:rPr>
          <w:rFonts w:hint="eastAsia" w:ascii="宋体" w:hAnsi="宋体" w:eastAsia="宋体" w:cs="宋体"/>
          <w:color w:val="auto"/>
          <w:sz w:val="24"/>
          <w:highlight w:val="none"/>
        </w:rPr>
        <w:t>）</w:t>
      </w:r>
    </w:p>
    <w:p w14:paraId="04267EF0">
      <w:pPr>
        <w:spacing w:line="380" w:lineRule="exact"/>
        <w:jc w:val="center"/>
        <w:rPr>
          <w:rFonts w:hint="eastAsia" w:ascii="宋体" w:hAnsi="宋体" w:eastAsia="宋体" w:cs="宋体"/>
          <w:color w:val="auto"/>
          <w:sz w:val="24"/>
          <w:highlight w:val="none"/>
        </w:rPr>
      </w:pPr>
    </w:p>
    <w:p w14:paraId="13EA72DC">
      <w:pPr>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 xml:space="preserve">               日期：      年   月    日</w:t>
      </w:r>
    </w:p>
    <w:p w14:paraId="2B78764F">
      <w:pPr>
        <w:pStyle w:val="26"/>
        <w:ind w:firstLine="210"/>
        <w:rPr>
          <w:rFonts w:hint="eastAsia" w:ascii="宋体" w:hAnsi="宋体" w:eastAsia="宋体" w:cs="宋体"/>
          <w:color w:val="auto"/>
          <w:highlight w:val="none"/>
        </w:rPr>
      </w:pPr>
    </w:p>
    <w:p w14:paraId="42D1B065">
      <w:pPr>
        <w:pStyle w:val="26"/>
        <w:ind w:firstLine="210"/>
        <w:rPr>
          <w:rFonts w:hint="eastAsia" w:ascii="宋体" w:hAnsi="宋体" w:eastAsia="宋体" w:cs="宋体"/>
          <w:color w:val="auto"/>
          <w:highlight w:val="none"/>
        </w:rPr>
      </w:pPr>
    </w:p>
    <w:p w14:paraId="2147D8FA">
      <w:pPr>
        <w:pStyle w:val="26"/>
        <w:ind w:firstLine="210"/>
        <w:rPr>
          <w:rFonts w:hint="eastAsia" w:ascii="宋体" w:hAnsi="宋体" w:eastAsia="宋体" w:cs="宋体"/>
          <w:color w:val="auto"/>
          <w:highlight w:val="none"/>
        </w:rPr>
      </w:pPr>
    </w:p>
    <w:p w14:paraId="2B5486C7">
      <w:pPr>
        <w:pStyle w:val="4"/>
        <w:bidi w:val="0"/>
        <w:rPr>
          <w:rFonts w:hint="eastAsia" w:ascii="宋体" w:hAnsi="宋体" w:eastAsia="宋体" w:cs="宋体"/>
          <w:color w:val="auto"/>
          <w:highlight w:val="none"/>
        </w:rPr>
      </w:pPr>
      <w:bookmarkStart w:id="222" w:name="_Toc12913"/>
      <w:r>
        <w:rPr>
          <w:rFonts w:hint="eastAsia" w:ascii="宋体" w:hAnsi="宋体" w:eastAsia="宋体" w:cs="宋体"/>
          <w:color w:val="auto"/>
          <w:highlight w:val="none"/>
        </w:rPr>
        <w:t>周口市政府采购合同融资政策告知函</w:t>
      </w:r>
      <w:bookmarkEnd w:id="222"/>
    </w:p>
    <w:p w14:paraId="4831C367">
      <w:pPr>
        <w:pStyle w:val="26"/>
        <w:ind w:firstLine="240"/>
        <w:rPr>
          <w:rFonts w:hint="eastAsia" w:ascii="宋体" w:hAnsi="宋体" w:eastAsia="宋体" w:cs="宋体"/>
          <w:color w:val="auto"/>
          <w:sz w:val="24"/>
          <w:szCs w:val="24"/>
          <w:highlight w:val="none"/>
        </w:rPr>
      </w:pPr>
    </w:p>
    <w:p w14:paraId="3C3646B4">
      <w:pPr>
        <w:pStyle w:val="26"/>
        <w:ind w:firstLine="240"/>
        <w:rPr>
          <w:rFonts w:hint="eastAsia" w:ascii="宋体" w:hAnsi="宋体" w:eastAsia="宋体" w:cs="宋体"/>
          <w:color w:val="auto"/>
          <w:sz w:val="24"/>
          <w:szCs w:val="24"/>
          <w:highlight w:val="none"/>
        </w:rPr>
      </w:pPr>
    </w:p>
    <w:p w14:paraId="55C98BB1">
      <w:pPr>
        <w:pStyle w:val="26"/>
        <w:ind w:firstLine="240"/>
        <w:rPr>
          <w:rFonts w:hint="eastAsia" w:ascii="宋体" w:hAnsi="宋体" w:eastAsia="宋体" w:cs="宋体"/>
          <w:color w:val="auto"/>
          <w:sz w:val="24"/>
          <w:szCs w:val="24"/>
          <w:highlight w:val="none"/>
        </w:rPr>
      </w:pPr>
    </w:p>
    <w:p w14:paraId="7E5B5FCA">
      <w:pPr>
        <w:pStyle w:val="26"/>
        <w:keepNext w:val="0"/>
        <w:keepLines w:val="0"/>
        <w:pageBreakBefore w:val="0"/>
        <w:kinsoku/>
        <w:wordWrap/>
        <w:overflowPunct/>
        <w:topLinePunct w:val="0"/>
        <w:autoSpaceDE/>
        <w:autoSpaceDN/>
        <w:bidi w:val="0"/>
        <w:adjustRightInd/>
        <w:snapToGrid/>
        <w:spacing w:line="360" w:lineRule="auto"/>
        <w:ind w:firstLine="2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各供应商：</w:t>
      </w:r>
    </w:p>
    <w:p w14:paraId="36F8BB05">
      <w:pPr>
        <w:pStyle w:val="26"/>
        <w:keepNext w:val="0"/>
        <w:keepLines w:val="0"/>
        <w:pageBreakBefore w:val="0"/>
        <w:kinsoku/>
        <w:wordWrap/>
        <w:overflowPunct/>
        <w:topLinePunct w:val="0"/>
        <w:autoSpaceDE/>
        <w:autoSpaceDN/>
        <w:bidi w:val="0"/>
        <w:adjustRightInd/>
        <w:snapToGrid/>
        <w:spacing w:line="360" w:lineRule="auto"/>
        <w:ind w:firstLine="2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欢迎贵公司参与周口市政府采购活动！</w:t>
      </w:r>
    </w:p>
    <w:p w14:paraId="5FFDE2CC">
      <w:pPr>
        <w:pStyle w:val="26"/>
        <w:keepNext w:val="0"/>
        <w:keepLines w:val="0"/>
        <w:pageBreakBefore w:val="0"/>
        <w:kinsoku/>
        <w:wordWrap/>
        <w:overflowPunct/>
        <w:topLinePunct w:val="0"/>
        <w:autoSpaceDE/>
        <w:autoSpaceDN/>
        <w:bidi w:val="0"/>
        <w:adjustRightInd/>
        <w:snapToGrid/>
        <w:spacing w:line="360" w:lineRule="auto"/>
        <w:ind w:firstLine="24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根据《河南省政府采购合同融资工作实施方案》（豫财购〔2017〕10号），按照双方自愿的原则提供便捷、优惠的贷款服务。</w:t>
      </w:r>
    </w:p>
    <w:p w14:paraId="4AAABD9C">
      <w:pPr>
        <w:pStyle w:val="19"/>
        <w:keepNext w:val="0"/>
        <w:keepLines w:val="0"/>
        <w:pageBreakBefore w:val="0"/>
        <w:shd w:val="clear" w:color="auto" w:fill="auto"/>
        <w:kinsoku/>
        <w:wordWrap/>
        <w:overflowPunct/>
        <w:topLinePunct w:val="0"/>
        <w:autoSpaceDE/>
        <w:autoSpaceDN/>
        <w:bidi w:val="0"/>
        <w:adjustRightInd/>
        <w:snapToGrid/>
        <w:spacing w:before="0" w:beforeAutospacing="0" w:after="0" w:afterAutospacing="0"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贷款渠道和提供贷款的金融机构，可在河南省政府采购网“河南省政府采购合同融资平台”查询联系。</w:t>
      </w:r>
    </w:p>
    <w:p w14:paraId="10471674">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0B573DEB">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7D2D6A17">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13BC2304">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03DAB75B">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75D316D2">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2E67DC6A">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540F594B">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65DE30C6">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574ED669">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00F48BFA">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2360AC3B">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3FA0CE49">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3040A671">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381942A2">
      <w:pPr>
        <w:pStyle w:val="19"/>
        <w:shd w:val="clear" w:color="auto" w:fill="auto"/>
        <w:spacing w:before="0" w:beforeAutospacing="0" w:after="0" w:afterAutospacing="0" w:line="330" w:lineRule="atLeast"/>
        <w:rPr>
          <w:rFonts w:hint="eastAsia" w:cs="仿宋_GB2312"/>
          <w:b/>
          <w:bCs/>
          <w:color w:val="auto"/>
          <w:sz w:val="21"/>
          <w:szCs w:val="21"/>
          <w:highlight w:val="none"/>
        </w:rPr>
      </w:pPr>
    </w:p>
    <w:p w14:paraId="63C55297">
      <w:pPr>
        <w:pStyle w:val="26"/>
        <w:ind w:left="0" w:leftChars="0" w:firstLine="0" w:firstLineChars="0"/>
        <w:rPr>
          <w:rFonts w:hint="eastAsia" w:ascii="宋体" w:hAnsi="宋体" w:eastAsia="宋体" w:cs="宋体"/>
          <w:color w:val="auto"/>
          <w:sz w:val="24"/>
          <w:szCs w:val="24"/>
          <w:highlight w:val="none"/>
        </w:rPr>
      </w:pPr>
    </w:p>
    <w:p w14:paraId="6B4F877F">
      <w:pPr>
        <w:rPr>
          <w:color w:val="auto"/>
          <w:highlight w:val="none"/>
        </w:rPr>
      </w:pPr>
    </w:p>
    <w:sectPr>
      <w:pgSz w:w="11906" w:h="16838"/>
      <w:pgMar w:top="1389" w:right="1304" w:bottom="1440" w:left="1304" w:header="851" w:footer="992" w:gutter="0"/>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script"/>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8F71E5">
    <w:pPr>
      <w:pStyle w:val="15"/>
      <w:tabs>
        <w:tab w:val="clear" w:pos="8306"/>
      </w:tabs>
      <w:rPr>
        <w:rFonts w:hint="eastAsia"/>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74625" cy="21082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74625" cy="210820"/>
                      </a:xfrm>
                      <a:prstGeom prst="rect">
                        <a:avLst/>
                      </a:prstGeom>
                      <a:noFill/>
                      <a:ln>
                        <a:noFill/>
                      </a:ln>
                    </wps:spPr>
                    <wps:txbx>
                      <w:txbxContent>
                        <w:p w14:paraId="6574F2A8">
                          <w:pPr>
                            <w:pStyle w:val="15"/>
                            <w:rPr>
                              <w:rStyle w:val="25"/>
                              <w:rFonts w:hint="eastAsia"/>
                            </w:rPr>
                          </w:pPr>
                          <w:r>
                            <w:fldChar w:fldCharType="begin"/>
                          </w:r>
                          <w:r>
                            <w:rPr>
                              <w:rStyle w:val="25"/>
                            </w:rPr>
                            <w:instrText xml:space="preserve">PAGE   \* MERGEFORMAT</w:instrText>
                          </w:r>
                          <w:r>
                            <w:fldChar w:fldCharType="separate"/>
                          </w:r>
                          <w:r>
                            <w:rPr>
                              <w:rStyle w:val="25"/>
                              <w:lang w:val="zh-CN"/>
                            </w:rPr>
                            <w:t>15</w:t>
                          </w:r>
                          <w:r>
                            <w:fldChar w:fldCharType="end"/>
                          </w:r>
                        </w:p>
                      </w:txbxContent>
                    </wps:txbx>
                    <wps:bodyPr lIns="0" tIns="0" rIns="0" bIns="0" upright="0"/>
                  </wps:wsp>
                </a:graphicData>
              </a:graphic>
            </wp:anchor>
          </w:drawing>
        </mc:Choice>
        <mc:Fallback>
          <w:pict>
            <v:shape id="_x0000_s1026" o:spid="_x0000_s1026" o:spt="202" type="#_x0000_t202" style="position:absolute;left:0pt;margin-top:0pt;height:16.6pt;width:13.75pt;mso-position-horizontal:center;mso-position-horizontal-relative:margin;z-index:251659264;mso-width-relative:page;mso-height-relative:page;" filled="f" stroked="f" coordsize="21600,21600" o:gfxdata="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">
              <v:fill on="f" focussize="0,0"/>
              <v:stroke on="f"/>
              <v:imagedata o:title=""/>
              <o:lock v:ext="edit" aspectratio="f"/>
              <v:textbox inset="0mm,0mm,0mm,0mm">
                <w:txbxContent>
                  <w:p w14:paraId="6574F2A8">
                    <w:pPr>
                      <w:pStyle w:val="15"/>
                      <w:rPr>
                        <w:rStyle w:val="25"/>
                        <w:rFonts w:hint="eastAsia"/>
                      </w:rPr>
                    </w:pPr>
                    <w:r>
                      <w:fldChar w:fldCharType="begin"/>
                    </w:r>
                    <w:r>
                      <w:rPr>
                        <w:rStyle w:val="25"/>
                      </w:rPr>
                      <w:instrText xml:space="preserve">PAGE   \* MERGEFORMAT</w:instrText>
                    </w:r>
                    <w:r>
                      <w:fldChar w:fldCharType="separate"/>
                    </w:r>
                    <w:r>
                      <w:rPr>
                        <w:rStyle w:val="25"/>
                        <w:lang w:val="zh-CN"/>
                      </w:rPr>
                      <w:t>15</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23B73C"/>
    <w:multiLevelType w:val="singleLevel"/>
    <w:tmpl w:val="1223B73C"/>
    <w:lvl w:ilvl="0" w:tentative="0">
      <w:start w:val="1"/>
      <w:numFmt w:val="chineseCounting"/>
      <w:suff w:val="space"/>
      <w:lvlText w:val="第%1章"/>
      <w:lvlJc w:val="left"/>
      <w:rPr>
        <w:rFonts w:hint="eastAsia"/>
      </w:rPr>
    </w:lvl>
  </w:abstractNum>
  <w:abstractNum w:abstractNumId="1">
    <w:nsid w:val="6DA1672E"/>
    <w:multiLevelType w:val="singleLevel"/>
    <w:tmpl w:val="6DA1672E"/>
    <w:lvl w:ilvl="0" w:tentative="0">
      <w:start w:val="8"/>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8D82379"/>
    <w:rsid w:val="01826A17"/>
    <w:rsid w:val="06A414FB"/>
    <w:rsid w:val="0C040028"/>
    <w:rsid w:val="145A5A7A"/>
    <w:rsid w:val="18D82379"/>
    <w:rsid w:val="1A506B1C"/>
    <w:rsid w:val="1F3263E7"/>
    <w:rsid w:val="204E1754"/>
    <w:rsid w:val="22484CBB"/>
    <w:rsid w:val="27F35566"/>
    <w:rsid w:val="28DE1ED5"/>
    <w:rsid w:val="295E1CD8"/>
    <w:rsid w:val="300C37CC"/>
    <w:rsid w:val="43B12268"/>
    <w:rsid w:val="48B9040A"/>
    <w:rsid w:val="53E93AD9"/>
    <w:rsid w:val="5A3E02F5"/>
    <w:rsid w:val="5E7D5AD7"/>
    <w:rsid w:val="60821FDC"/>
    <w:rsid w:val="6B715CB5"/>
    <w:rsid w:val="6C5472C9"/>
    <w:rsid w:val="710D5505"/>
    <w:rsid w:val="72D07765"/>
    <w:rsid w:val="76B725FE"/>
    <w:rsid w:val="77322134"/>
    <w:rsid w:val="7D6A62E9"/>
    <w:rsid w:val="7F5906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99"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qFormat="1" w:unhideWhenUsed="0"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4">
    <w:name w:val="heading 1"/>
    <w:basedOn w:val="1"/>
    <w:next w:val="1"/>
    <w:qFormat/>
    <w:uiPriority w:val="0"/>
    <w:pPr>
      <w:keepNext/>
      <w:keepLines/>
      <w:spacing w:before="340" w:after="330" w:line="578" w:lineRule="auto"/>
      <w:jc w:val="center"/>
      <w:outlineLvl w:val="0"/>
    </w:pPr>
    <w:rPr>
      <w:rFonts w:ascii="Times New Roman" w:hAnsi="Times New Roman" w:eastAsia="宋体"/>
      <w:b/>
      <w:bCs/>
      <w:kern w:val="44"/>
      <w:sz w:val="30"/>
      <w:szCs w:val="44"/>
    </w:rPr>
  </w:style>
  <w:style w:type="paragraph" w:styleId="5">
    <w:name w:val="heading 2"/>
    <w:basedOn w:val="1"/>
    <w:next w:val="1"/>
    <w:qFormat/>
    <w:uiPriority w:val="9"/>
    <w:pPr>
      <w:keepNext/>
      <w:keepLines/>
      <w:spacing w:before="260" w:after="260" w:line="416" w:lineRule="auto"/>
      <w:ind w:firstLine="628"/>
      <w:jc w:val="center"/>
      <w:outlineLvl w:val="1"/>
    </w:pPr>
    <w:rPr>
      <w:rFonts w:ascii="Arial" w:eastAsia="黑体"/>
      <w:b/>
      <w:bCs/>
      <w:sz w:val="32"/>
      <w:szCs w:val="32"/>
    </w:rPr>
  </w:style>
  <w:style w:type="paragraph" w:styleId="6">
    <w:name w:val="heading 3"/>
    <w:basedOn w:val="1"/>
    <w:next w:val="1"/>
    <w:qFormat/>
    <w:uiPriority w:val="0"/>
    <w:pPr>
      <w:keepNext/>
      <w:keepLines/>
      <w:spacing w:before="260" w:after="260" w:line="416" w:lineRule="auto"/>
      <w:jc w:val="center"/>
      <w:outlineLvl w:val="2"/>
    </w:pPr>
    <w:rPr>
      <w:rFonts w:ascii="宋体"/>
      <w:b/>
      <w:bCs/>
      <w:sz w:val="32"/>
      <w:szCs w:val="32"/>
    </w:rPr>
  </w:style>
  <w:style w:type="character" w:default="1" w:styleId="24">
    <w:name w:val="Default Paragraph Font"/>
    <w:semiHidden/>
    <w:qFormat/>
    <w:uiPriority w:val="0"/>
  </w:style>
  <w:style w:type="table" w:default="1" w:styleId="23">
    <w:name w:val="Normal Table"/>
    <w:semiHidden/>
    <w:qFormat/>
    <w:uiPriority w:val="0"/>
    <w:tblPr>
      <w:tblCellMar>
        <w:top w:w="0" w:type="dxa"/>
        <w:left w:w="108" w:type="dxa"/>
        <w:bottom w:w="0" w:type="dxa"/>
        <w:right w:w="108" w:type="dxa"/>
      </w:tblCellMar>
    </w:tblPr>
  </w:style>
  <w:style w:type="paragraph" w:customStyle="1" w:styleId="2">
    <w:name w:val="无间隔1"/>
    <w:next w:val="3"/>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caption"/>
    <w:basedOn w:val="1"/>
    <w:next w:val="1"/>
    <w:qFormat/>
    <w:uiPriority w:val="0"/>
    <w:rPr>
      <w:rFonts w:ascii="Cambria" w:hAnsi="Cambria" w:eastAsia="黑体"/>
      <w:sz w:val="20"/>
    </w:rPr>
  </w:style>
  <w:style w:type="paragraph" w:styleId="7">
    <w:name w:val="annotation text"/>
    <w:basedOn w:val="1"/>
    <w:qFormat/>
    <w:uiPriority w:val="0"/>
    <w:pPr>
      <w:jc w:val="left"/>
    </w:pPr>
  </w:style>
  <w:style w:type="paragraph" w:styleId="8">
    <w:name w:val="Body Text 3"/>
    <w:basedOn w:val="1"/>
    <w:qFormat/>
    <w:uiPriority w:val="0"/>
    <w:rPr>
      <w:rFonts w:ascii="黑体" w:hAnsi="Arial" w:eastAsia="黑体"/>
      <w:b/>
      <w:sz w:val="28"/>
    </w:rPr>
  </w:style>
  <w:style w:type="paragraph" w:styleId="9">
    <w:name w:val="Body Text"/>
    <w:basedOn w:val="1"/>
    <w:next w:val="10"/>
    <w:qFormat/>
    <w:uiPriority w:val="0"/>
    <w:rPr>
      <w:rFonts w:ascii="宋体" w:hAnsi="Arial"/>
      <w:sz w:val="28"/>
    </w:rPr>
  </w:style>
  <w:style w:type="paragraph" w:customStyle="1" w:styleId="10">
    <w:name w:val="Default"/>
    <w:next w:val="1"/>
    <w:qFormat/>
    <w:uiPriority w:val="99"/>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styleId="11">
    <w:name w:val="Body Text Indent"/>
    <w:basedOn w:val="1"/>
    <w:next w:val="12"/>
    <w:qFormat/>
    <w:uiPriority w:val="0"/>
    <w:pPr>
      <w:ind w:firstLine="645"/>
    </w:pPr>
    <w:rPr>
      <w:rFonts w:ascii="楷体_GB2312" w:eastAsia="楷体_GB2312"/>
      <w:sz w:val="32"/>
    </w:rPr>
  </w:style>
  <w:style w:type="paragraph" w:styleId="12">
    <w:name w:val="envelope return"/>
    <w:basedOn w:val="1"/>
    <w:qFormat/>
    <w:uiPriority w:val="99"/>
    <w:rPr>
      <w:rFonts w:ascii="Arial" w:hAnsi="Arial"/>
    </w:rPr>
  </w:style>
  <w:style w:type="paragraph" w:styleId="13">
    <w:name w:val="Plain Text"/>
    <w:basedOn w:val="1"/>
    <w:qFormat/>
    <w:uiPriority w:val="0"/>
    <w:rPr>
      <w:rFonts w:ascii="宋体" w:hAnsi="Courier New"/>
    </w:rPr>
  </w:style>
  <w:style w:type="paragraph" w:styleId="14">
    <w:name w:val="Date"/>
    <w:basedOn w:val="1"/>
    <w:next w:val="1"/>
    <w:qFormat/>
    <w:uiPriority w:val="0"/>
    <w:rPr>
      <w:b/>
      <w:sz w:val="28"/>
    </w:rPr>
  </w:style>
  <w:style w:type="paragraph" w:styleId="15">
    <w:name w:val="footer"/>
    <w:basedOn w:val="1"/>
    <w:qFormat/>
    <w:uiPriority w:val="0"/>
    <w:pPr>
      <w:tabs>
        <w:tab w:val="center" w:pos="4153"/>
        <w:tab w:val="right" w:pos="8306"/>
      </w:tabs>
      <w:snapToGrid w:val="0"/>
      <w:jc w:val="left"/>
    </w:pPr>
    <w:rPr>
      <w:sz w:val="18"/>
    </w:rPr>
  </w:style>
  <w:style w:type="paragraph" w:styleId="16">
    <w:name w:val="header"/>
    <w:basedOn w:val="1"/>
    <w:qFormat/>
    <w:uiPriority w:val="0"/>
    <w:pPr>
      <w:pBdr>
        <w:bottom w:val="single" w:color="auto" w:sz="6" w:space="1"/>
      </w:pBdr>
      <w:tabs>
        <w:tab w:val="center" w:pos="4153"/>
        <w:tab w:val="right" w:pos="8306"/>
      </w:tabs>
      <w:snapToGrid w:val="0"/>
      <w:jc w:val="center"/>
    </w:pPr>
    <w:rPr>
      <w:sz w:val="18"/>
    </w:rPr>
  </w:style>
  <w:style w:type="paragraph" w:styleId="17">
    <w:name w:val="footnote text"/>
    <w:basedOn w:val="1"/>
    <w:qFormat/>
    <w:uiPriority w:val="99"/>
    <w:pPr>
      <w:snapToGrid w:val="0"/>
      <w:jc w:val="left"/>
    </w:pPr>
    <w:rPr>
      <w:sz w:val="18"/>
      <w:szCs w:val="18"/>
    </w:rPr>
  </w:style>
  <w:style w:type="paragraph" w:styleId="18">
    <w:name w:val="toc 2"/>
    <w:basedOn w:val="1"/>
    <w:next w:val="1"/>
    <w:qFormat/>
    <w:uiPriority w:val="39"/>
    <w:pPr>
      <w:ind w:left="210"/>
      <w:jc w:val="left"/>
    </w:pPr>
    <w:rPr>
      <w:smallCaps/>
      <w:sz w:val="28"/>
      <w:szCs w:val="24"/>
    </w:rPr>
  </w:style>
  <w:style w:type="paragraph" w:styleId="19">
    <w:name w:val="Normal (Web)"/>
    <w:basedOn w:val="1"/>
    <w:qFormat/>
    <w:uiPriority w:val="99"/>
    <w:pPr>
      <w:widowControl/>
      <w:spacing w:before="100" w:beforeAutospacing="1" w:after="100" w:afterAutospacing="1"/>
      <w:jc w:val="left"/>
    </w:pPr>
    <w:rPr>
      <w:rFonts w:ascii="宋体" w:hAnsi="宋体"/>
      <w:kern w:val="0"/>
      <w:sz w:val="24"/>
      <w:szCs w:val="24"/>
    </w:rPr>
  </w:style>
  <w:style w:type="paragraph" w:styleId="20">
    <w:name w:val="index 1"/>
    <w:basedOn w:val="1"/>
    <w:next w:val="1"/>
    <w:qFormat/>
    <w:uiPriority w:val="0"/>
    <w:pPr>
      <w:jc w:val="center"/>
    </w:pPr>
    <w:rPr>
      <w:rFonts w:ascii="仿宋_GB2312" w:eastAsia="仿宋_GB2312"/>
      <w:b/>
      <w:bCs/>
      <w:sz w:val="28"/>
    </w:rPr>
  </w:style>
  <w:style w:type="paragraph" w:styleId="21">
    <w:name w:val="Body Text First Indent"/>
    <w:basedOn w:val="9"/>
    <w:next w:val="22"/>
    <w:qFormat/>
    <w:uiPriority w:val="0"/>
    <w:pPr>
      <w:autoSpaceDE w:val="0"/>
      <w:autoSpaceDN w:val="0"/>
      <w:adjustRightInd w:val="0"/>
      <w:spacing w:line="360" w:lineRule="auto"/>
      <w:ind w:right="-24" w:rightChars="-10" w:firstLine="425" w:firstLineChars="225"/>
    </w:pPr>
    <w:rPr>
      <w:rFonts w:ascii="Arial" w:eastAsia="仿宋_GB2312"/>
      <w:kern w:val="0"/>
      <w:sz w:val="24"/>
      <w:szCs w:val="32"/>
    </w:rPr>
  </w:style>
  <w:style w:type="paragraph" w:styleId="22">
    <w:name w:val="Body Text First Indent 2"/>
    <w:basedOn w:val="11"/>
    <w:next w:val="1"/>
    <w:qFormat/>
    <w:uiPriority w:val="0"/>
    <w:pPr>
      <w:spacing w:after="120"/>
      <w:ind w:left="420" w:firstLine="210"/>
    </w:pPr>
    <w:rPr>
      <w:rFonts w:ascii="Times New Roman"/>
    </w:rPr>
  </w:style>
  <w:style w:type="character" w:styleId="25">
    <w:name w:val="page number"/>
    <w:basedOn w:val="24"/>
    <w:qFormat/>
    <w:uiPriority w:val="0"/>
  </w:style>
  <w:style w:type="paragraph" w:customStyle="1" w:styleId="26">
    <w:name w:val="BodyText1I"/>
    <w:basedOn w:val="27"/>
    <w:qFormat/>
    <w:uiPriority w:val="99"/>
    <w:pPr>
      <w:ind w:firstLine="420" w:firstLineChars="100"/>
    </w:pPr>
  </w:style>
  <w:style w:type="paragraph" w:customStyle="1" w:styleId="27">
    <w:name w:val="BodyText"/>
    <w:basedOn w:val="1"/>
    <w:next w:val="28"/>
    <w:qFormat/>
    <w:uiPriority w:val="99"/>
    <w:pPr>
      <w:spacing w:after="120"/>
    </w:pPr>
  </w:style>
  <w:style w:type="paragraph" w:customStyle="1" w:styleId="28">
    <w:name w:val="UserStyle_217"/>
    <w:qFormat/>
    <w:uiPriority w:val="99"/>
    <w:pPr>
      <w:textAlignment w:val="baseline"/>
    </w:pPr>
    <w:rPr>
      <w:rFonts w:ascii="宋体" w:hAnsi="Times New Roman" w:eastAsia="宋体" w:cs="Times New Roman"/>
      <w:color w:val="000000"/>
      <w:sz w:val="24"/>
      <w:szCs w:val="24"/>
      <w:lang w:val="en-US" w:eastAsia="zh-CN" w:bidi="ar-SA"/>
    </w:rPr>
  </w:style>
  <w:style w:type="paragraph" w:customStyle="1" w:styleId="29">
    <w:name w:val="D&amp;L"/>
    <w:basedOn w:val="16"/>
    <w:qFormat/>
    <w:uiPriority w:val="0"/>
    <w:pPr>
      <w:pBdr>
        <w:bottom w:val="thinThickSmallGap" w:color="auto" w:sz="18" w:space="1"/>
      </w:pBdr>
      <w:adjustRightInd w:val="0"/>
      <w:snapToGrid/>
      <w:spacing w:line="240" w:lineRule="atLeast"/>
      <w:textAlignment w:val="baseline"/>
    </w:pPr>
    <w:rPr>
      <w:kern w:val="0"/>
      <w:sz w:val="24"/>
    </w:rPr>
  </w:style>
  <w:style w:type="paragraph" w:styleId="30">
    <w:name w:val="List Paragraph"/>
    <w:basedOn w:val="1"/>
    <w:qFormat/>
    <w:uiPriority w:val="34"/>
    <w:pPr>
      <w:widowControl/>
      <w:spacing w:after="200" w:line="276" w:lineRule="auto"/>
      <w:ind w:left="720"/>
      <w:contextualSpacing/>
      <w:jc w:val="left"/>
    </w:pPr>
    <w:rPr>
      <w:rFonts w:ascii="Calibri" w:hAnsi="Calibri"/>
      <w:kern w:val="0"/>
      <w:sz w:val="22"/>
      <w:szCs w:val="22"/>
    </w:rPr>
  </w:style>
  <w:style w:type="paragraph" w:customStyle="1" w:styleId="31">
    <w:name w:val="正文1"/>
    <w:basedOn w:val="1"/>
    <w:qFormat/>
    <w:uiPriority w:val="0"/>
    <w:pPr>
      <w:widowControl/>
      <w:topLinePunct/>
      <w:spacing w:before="156" w:beforeLines="50" w:after="156" w:afterLines="50" w:line="300" w:lineRule="auto"/>
      <w:ind w:left="420"/>
    </w:pPr>
    <w:rPr>
      <w:szCs w:val="24"/>
    </w:rPr>
  </w:style>
  <w:style w:type="paragraph" w:customStyle="1" w:styleId="32">
    <w:name w:val="Char Char Char Char Char Char Char1 Char"/>
    <w:basedOn w:val="1"/>
    <w:qFormat/>
    <w:uiPriority w:val="0"/>
    <w:rPr>
      <w:rFonts w:ascii="Tahoma" w:hAnsi="Tahoma"/>
      <w:sz w:val="24"/>
    </w:rPr>
  </w:style>
  <w:style w:type="paragraph" w:customStyle="1" w:styleId="33">
    <w:name w:val="xl31"/>
    <w:basedOn w:val="1"/>
    <w:qFormat/>
    <w:uiPriority w:val="0"/>
    <w:pPr>
      <w:widowControl/>
      <w:spacing w:before="100" w:beforeAutospacing="1" w:after="100" w:afterAutospacing="1"/>
      <w:jc w:val="center"/>
    </w:pPr>
    <w:rPr>
      <w:rFonts w:ascii="宋体" w:hAnsi="宋体"/>
      <w:b/>
      <w:bCs/>
      <w:kern w:val="0"/>
      <w:sz w:val="28"/>
      <w:szCs w:val="2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56</Pages>
  <Words>3441</Words>
  <Characters>3804</Characters>
  <Lines>0</Lines>
  <Paragraphs>0</Paragraphs>
  <TotalTime>0</TotalTime>
  <ScaleCrop>false</ScaleCrop>
  <LinksUpToDate>false</LinksUpToDate>
  <CharactersWithSpaces>3969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2025-05-29T08:22:00Z</dcterms:created>
  <dc:creator>Administrator</dc:creator>
  <cp:lastModifiedBy>user</cp:lastModifiedBy>
  <dcterms:modified xsi:type="dcterms:W3CDTF">2025-06-17T08:16:19Z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2372D61D04EF4575B9809BD9915E02CD_13</vt:lpwstr>
  </property>
  <property fmtid="{D5CDD505-2E9C-101B-9397-08002B2CF9AE}" pid="4" name="KSOTemplateDocerSaveRecord">
    <vt:lpwstr>eyJoZGlkIjoiNTQ3MGY4OWEwYWQ5MGRhOTEyZDdjODBiNTM4ZTJjNzciLCJ1c2VySWQiOiIxMDg5MjYwMDExIn0=</vt:lpwstr>
  </property>
</Properties>
</file>