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A0023">
      <w:pPr>
        <w:tabs>
          <w:tab w:val="left" w:pos="420"/>
        </w:tabs>
        <w:spacing w:line="1700" w:lineRule="exact"/>
        <w:jc w:val="center"/>
        <w:rPr>
          <w:rFonts w:hint="eastAsia" w:ascii="宋体" w:hAnsi="宋体" w:eastAsia="宋体" w:cs="宋体"/>
          <w:b/>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7F178210">
      <w:pPr>
        <w:tabs>
          <w:tab w:val="left" w:pos="315"/>
          <w:tab w:val="left" w:pos="8820"/>
        </w:tabs>
        <w:spacing w:line="500" w:lineRule="exact"/>
        <w:ind w:right="267" w:rightChars="127"/>
        <w:jc w:val="center"/>
        <w:rPr>
          <w:rFonts w:hint="eastAsia" w:ascii="宋体" w:hAnsi="宋体" w:eastAsia="宋体" w:cs="宋体"/>
          <w:b/>
          <w:bCs/>
          <w:color w:val="auto"/>
          <w:sz w:val="48"/>
          <w:highlight w:val="none"/>
        </w:rPr>
      </w:pPr>
    </w:p>
    <w:p w14:paraId="1E0D69ED">
      <w:pPr>
        <w:tabs>
          <w:tab w:val="left" w:pos="315"/>
          <w:tab w:val="left" w:pos="8820"/>
        </w:tabs>
        <w:spacing w:line="500" w:lineRule="exact"/>
        <w:ind w:right="267" w:rightChars="127"/>
        <w:jc w:val="center"/>
        <w:rPr>
          <w:rFonts w:hint="eastAsia" w:ascii="宋体" w:hAnsi="宋体" w:eastAsia="宋体" w:cs="宋体"/>
          <w:b/>
          <w:bCs/>
          <w:color w:val="auto"/>
          <w:sz w:val="52"/>
          <w:highlight w:val="none"/>
        </w:rPr>
      </w:pPr>
      <w:r>
        <w:rPr>
          <w:rFonts w:hint="eastAsia" w:ascii="宋体" w:hAnsi="宋体" w:eastAsia="宋体" w:cs="宋体"/>
          <w:b/>
          <w:bCs/>
          <w:color w:val="auto"/>
          <w:sz w:val="52"/>
          <w:highlight w:val="none"/>
        </w:rPr>
        <w:t>政 府 采 购 招 标 文 件</w:t>
      </w:r>
    </w:p>
    <w:p w14:paraId="3ED7C3EA">
      <w:pPr>
        <w:tabs>
          <w:tab w:val="left" w:pos="315"/>
          <w:tab w:val="left" w:pos="8820"/>
        </w:tabs>
        <w:spacing w:line="500" w:lineRule="exact"/>
        <w:ind w:right="267" w:rightChars="127"/>
        <w:jc w:val="center"/>
        <w:rPr>
          <w:rFonts w:hint="eastAsia" w:ascii="宋体" w:hAnsi="宋体" w:eastAsia="宋体" w:cs="宋体"/>
          <w:color w:val="auto"/>
          <w:sz w:val="44"/>
          <w:highlight w:val="none"/>
        </w:rPr>
      </w:pPr>
    </w:p>
    <w:p w14:paraId="42F31622">
      <w:pPr>
        <w:tabs>
          <w:tab w:val="left" w:pos="315"/>
          <w:tab w:val="left" w:pos="8820"/>
        </w:tabs>
        <w:ind w:right="267" w:rightChars="127"/>
        <w:rPr>
          <w:rFonts w:hint="eastAsia" w:ascii="宋体" w:hAnsi="宋体" w:eastAsia="宋体" w:cs="宋体"/>
          <w:color w:val="auto"/>
          <w:sz w:val="44"/>
          <w:highlight w:val="none"/>
        </w:rPr>
      </w:pPr>
    </w:p>
    <w:p w14:paraId="29ACD45E">
      <w:pPr>
        <w:tabs>
          <w:tab w:val="left" w:pos="315"/>
          <w:tab w:val="left" w:pos="8820"/>
        </w:tabs>
        <w:ind w:right="267" w:rightChars="127"/>
        <w:rPr>
          <w:rFonts w:hint="eastAsia" w:ascii="宋体" w:hAnsi="宋体" w:eastAsia="宋体" w:cs="宋体"/>
          <w:color w:val="auto"/>
          <w:sz w:val="44"/>
          <w:highlight w:val="none"/>
        </w:rPr>
      </w:pPr>
    </w:p>
    <w:p w14:paraId="235D9149">
      <w:pPr>
        <w:tabs>
          <w:tab w:val="left" w:pos="315"/>
          <w:tab w:val="left" w:pos="8820"/>
        </w:tabs>
        <w:ind w:right="267" w:rightChars="127"/>
        <w:rPr>
          <w:rFonts w:hint="eastAsia" w:ascii="宋体" w:hAnsi="宋体" w:eastAsia="宋体" w:cs="宋体"/>
          <w:color w:val="auto"/>
          <w:sz w:val="44"/>
          <w:highlight w:val="none"/>
        </w:rPr>
      </w:pPr>
    </w:p>
    <w:p w14:paraId="5B5CF183">
      <w:pPr>
        <w:tabs>
          <w:tab w:val="left" w:pos="315"/>
          <w:tab w:val="left" w:pos="8820"/>
        </w:tabs>
        <w:ind w:right="267" w:rightChars="127"/>
        <w:rPr>
          <w:rFonts w:hint="eastAsia" w:ascii="宋体" w:hAnsi="宋体" w:eastAsia="宋体" w:cs="宋体"/>
          <w:color w:val="auto"/>
          <w:sz w:val="44"/>
          <w:highlight w:val="none"/>
        </w:rPr>
      </w:pPr>
    </w:p>
    <w:p w14:paraId="184E8C09">
      <w:pPr>
        <w:tabs>
          <w:tab w:val="left" w:pos="315"/>
          <w:tab w:val="left" w:pos="8820"/>
        </w:tabs>
        <w:spacing w:line="500" w:lineRule="exact"/>
        <w:ind w:right="267" w:rightChars="127"/>
        <w:rPr>
          <w:rFonts w:hint="eastAsia" w:ascii="宋体" w:hAnsi="宋体" w:eastAsia="宋体" w:cs="宋体"/>
          <w:color w:val="auto"/>
          <w:sz w:val="36"/>
          <w:highlight w:val="none"/>
        </w:rPr>
      </w:pPr>
    </w:p>
    <w:p w14:paraId="3CD61ECD">
      <w:pPr>
        <w:pStyle w:val="8"/>
        <w:spacing w:line="360" w:lineRule="auto"/>
        <w:ind w:left="1606" w:hanging="1606" w:hangingChars="500"/>
        <w:rPr>
          <w:rFonts w:hint="eastAsia" w:ascii="宋体" w:hAnsi="宋体" w:eastAsia="宋体" w:cs="宋体"/>
          <w:color w:val="auto"/>
          <w:sz w:val="32"/>
          <w:szCs w:val="32"/>
          <w:highlight w:val="none"/>
        </w:rPr>
      </w:pPr>
    </w:p>
    <w:p w14:paraId="66C2D253">
      <w:pPr>
        <w:pStyle w:val="8"/>
        <w:spacing w:line="360" w:lineRule="auto"/>
        <w:ind w:left="1606" w:hanging="1606" w:hangingChars="500"/>
        <w:rPr>
          <w:rFonts w:hint="eastAsia" w:ascii="宋体" w:hAnsi="宋体" w:eastAsia="宋体" w:cs="宋体"/>
          <w:color w:val="auto"/>
          <w:sz w:val="32"/>
          <w:szCs w:val="32"/>
          <w:highlight w:val="none"/>
        </w:rPr>
      </w:pPr>
    </w:p>
    <w:p w14:paraId="7748DDA5">
      <w:pPr>
        <w:pStyle w:val="8"/>
        <w:spacing w:line="360" w:lineRule="auto"/>
        <w:ind w:left="1606" w:hanging="1606" w:hangingChars="500"/>
        <w:rPr>
          <w:rFonts w:hint="eastAsia" w:ascii="宋体" w:hAnsi="宋体" w:eastAsia="宋体" w:cs="宋体"/>
          <w:color w:val="auto"/>
          <w:sz w:val="32"/>
          <w:szCs w:val="32"/>
          <w:highlight w:val="none"/>
        </w:rPr>
      </w:pPr>
    </w:p>
    <w:p w14:paraId="237F72FA">
      <w:pPr>
        <w:pStyle w:val="8"/>
        <w:spacing w:line="360" w:lineRule="auto"/>
        <w:ind w:left="1606" w:hanging="1606" w:hangingChars="500"/>
        <w:rPr>
          <w:rFonts w:hint="eastAsia" w:ascii="宋体" w:hAnsi="宋体" w:eastAsia="宋体" w:cs="宋体"/>
          <w:color w:val="auto"/>
          <w:sz w:val="32"/>
          <w:szCs w:val="32"/>
          <w:highlight w:val="none"/>
        </w:rPr>
      </w:pPr>
    </w:p>
    <w:p w14:paraId="0075B3F2">
      <w:pPr>
        <w:pStyle w:val="8"/>
        <w:spacing w:line="360" w:lineRule="auto"/>
        <w:ind w:left="1606" w:hanging="1606" w:hangingChars="500"/>
        <w:rPr>
          <w:rFonts w:hint="eastAsia" w:ascii="宋体" w:hAnsi="宋体" w:eastAsia="宋体" w:cs="宋体"/>
          <w:color w:val="auto"/>
          <w:sz w:val="32"/>
          <w:szCs w:val="32"/>
          <w:highlight w:val="none"/>
        </w:rPr>
      </w:pPr>
    </w:p>
    <w:p w14:paraId="37BE1BD6">
      <w:pPr>
        <w:pStyle w:val="8"/>
        <w:spacing w:line="360" w:lineRule="auto"/>
        <w:ind w:left="1606" w:hanging="1606" w:hangingChars="500"/>
        <w:rPr>
          <w:rFonts w:hint="eastAsia" w:ascii="宋体" w:hAnsi="宋体" w:eastAsia="宋体" w:cs="宋体"/>
          <w:color w:val="auto"/>
          <w:sz w:val="32"/>
          <w:szCs w:val="32"/>
          <w:highlight w:val="none"/>
        </w:rPr>
      </w:pPr>
    </w:p>
    <w:p w14:paraId="6CF63153">
      <w:pPr>
        <w:pStyle w:val="8"/>
        <w:spacing w:line="360" w:lineRule="auto"/>
        <w:ind w:left="1606" w:hanging="1600" w:hangingChars="500"/>
        <w:rPr>
          <w:rFonts w:hint="eastAsia" w:ascii="宋体" w:hAnsi="Times New Roman" w:eastAsia="宋体" w:cs="Times New Roman"/>
          <w:b w:val="0"/>
          <w:bCs/>
          <w:color w:val="auto"/>
          <w:sz w:val="30"/>
          <w:szCs w:val="30"/>
          <w:highlight w:val="none"/>
          <w:u w:val="none"/>
          <w:lang w:val="en-US" w:eastAsia="zh-CN"/>
        </w:rPr>
      </w:pPr>
      <w:r>
        <w:rPr>
          <w:rFonts w:hint="eastAsia" w:ascii="宋体" w:hAnsi="宋体" w:eastAsia="宋体" w:cs="宋体"/>
          <w:b w:val="0"/>
          <w:bCs/>
          <w:color w:val="auto"/>
          <w:sz w:val="32"/>
          <w:szCs w:val="32"/>
          <w:highlight w:val="none"/>
        </w:rPr>
        <w:t>项目名称</w:t>
      </w:r>
      <w:r>
        <w:rPr>
          <w:rFonts w:hint="eastAsia" w:ascii="宋体" w:hAnsi="宋体" w:eastAsia="宋体" w:cs="宋体"/>
          <w:b w:val="0"/>
          <w:bCs/>
          <w:color w:val="auto"/>
          <w:szCs w:val="28"/>
          <w:highlight w:val="none"/>
        </w:rPr>
        <w:t>：</w:t>
      </w:r>
      <w:r>
        <w:rPr>
          <w:rFonts w:hint="eastAsia" w:ascii="宋体" w:hAnsi="Times New Roman" w:eastAsia="宋体" w:cs="Times New Roman"/>
          <w:b w:val="0"/>
          <w:bCs/>
          <w:color w:val="auto"/>
          <w:sz w:val="30"/>
          <w:szCs w:val="30"/>
          <w:highlight w:val="none"/>
          <w:u w:val="none"/>
          <w:lang w:val="en-US" w:eastAsia="zh-CN"/>
        </w:rPr>
        <w:t>鹿邑县行政审批和政务信息管理局鹿邑县“互联网+政务服务”平台系统集成服务项目</w:t>
      </w:r>
    </w:p>
    <w:p w14:paraId="7D6B48BB">
      <w:pPr>
        <w:pStyle w:val="8"/>
        <w:spacing w:line="360" w:lineRule="auto"/>
        <w:rPr>
          <w:rFonts w:hint="default" w:ascii="宋体" w:hAnsi="宋体" w:eastAsia="宋体" w:cs="宋体"/>
          <w:b w:val="0"/>
          <w:bCs/>
          <w:color w:val="auto"/>
          <w:sz w:val="32"/>
          <w:highlight w:val="none"/>
          <w:lang w:val="en-US" w:eastAsia="zh-CN"/>
        </w:rPr>
      </w:pPr>
      <w:r>
        <w:rPr>
          <w:rFonts w:hint="eastAsia" w:ascii="宋体" w:hAnsi="宋体" w:eastAsia="宋体" w:cs="宋体"/>
          <w:b w:val="0"/>
          <w:bCs/>
          <w:color w:val="auto"/>
          <w:sz w:val="32"/>
          <w:highlight w:val="none"/>
        </w:rPr>
        <w:t>项目编号：</w:t>
      </w:r>
      <w:r>
        <w:rPr>
          <w:rFonts w:hint="eastAsia" w:ascii="宋体" w:hAnsi="Times New Roman" w:eastAsia="宋体" w:cs="Times New Roman"/>
          <w:b w:val="0"/>
          <w:bCs/>
          <w:color w:val="auto"/>
          <w:sz w:val="30"/>
          <w:szCs w:val="30"/>
          <w:highlight w:val="none"/>
          <w:u w:val="none"/>
          <w:lang w:val="en-US" w:eastAsia="zh-CN"/>
        </w:rPr>
        <w:t>鹿财公开-2025-7</w:t>
      </w:r>
    </w:p>
    <w:p w14:paraId="420E068B">
      <w:pPr>
        <w:spacing w:line="360" w:lineRule="auto"/>
        <w:jc w:val="center"/>
        <w:rPr>
          <w:rFonts w:hint="eastAsia" w:ascii="宋体" w:hAnsi="宋体" w:eastAsia="宋体" w:cs="宋体"/>
          <w:b w:val="0"/>
          <w:bCs/>
          <w:color w:val="auto"/>
          <w:spacing w:val="-4"/>
          <w:sz w:val="32"/>
          <w:szCs w:val="32"/>
          <w:highlight w:val="none"/>
        </w:rPr>
      </w:pPr>
    </w:p>
    <w:p w14:paraId="3E630424">
      <w:pPr>
        <w:spacing w:line="360" w:lineRule="auto"/>
        <w:jc w:val="center"/>
        <w:rPr>
          <w:rFonts w:hint="default" w:ascii="宋体" w:hAnsi="宋体" w:eastAsia="宋体" w:cs="宋体"/>
          <w:b w:val="0"/>
          <w:bCs/>
          <w:color w:val="auto"/>
          <w:highlight w:val="none"/>
          <w:lang w:val="en-US" w:eastAsia="zh-CN"/>
        </w:rPr>
      </w:pPr>
      <w:r>
        <w:rPr>
          <w:rFonts w:hint="eastAsia" w:ascii="宋体" w:hAnsi="宋体" w:eastAsia="宋体" w:cs="宋体"/>
          <w:b w:val="0"/>
          <w:bCs/>
          <w:color w:val="auto"/>
          <w:spacing w:val="-4"/>
          <w:sz w:val="32"/>
          <w:szCs w:val="32"/>
          <w:highlight w:val="none"/>
          <w:lang w:val="en-US" w:eastAsia="zh-CN"/>
        </w:rPr>
        <w:t>2025</w:t>
      </w:r>
      <w:r>
        <w:rPr>
          <w:rFonts w:hint="eastAsia" w:ascii="宋体" w:hAnsi="宋体" w:eastAsia="宋体" w:cs="宋体"/>
          <w:b w:val="0"/>
          <w:bCs/>
          <w:color w:val="auto"/>
          <w:spacing w:val="-4"/>
          <w:sz w:val="32"/>
          <w:szCs w:val="32"/>
          <w:highlight w:val="none"/>
        </w:rPr>
        <w:t>年</w:t>
      </w:r>
      <w:r>
        <w:rPr>
          <w:rFonts w:hint="eastAsia" w:ascii="宋体" w:hAnsi="宋体" w:cs="宋体"/>
          <w:b w:val="0"/>
          <w:bCs/>
          <w:color w:val="auto"/>
          <w:spacing w:val="-4"/>
          <w:sz w:val="32"/>
          <w:szCs w:val="32"/>
          <w:highlight w:val="none"/>
          <w:lang w:val="en-US" w:eastAsia="zh-CN"/>
        </w:rPr>
        <w:t>6</w:t>
      </w:r>
      <w:r>
        <w:rPr>
          <w:rFonts w:hint="eastAsia" w:ascii="宋体" w:hAnsi="宋体" w:eastAsia="宋体" w:cs="宋体"/>
          <w:b w:val="0"/>
          <w:bCs/>
          <w:color w:val="auto"/>
          <w:spacing w:val="-4"/>
          <w:sz w:val="32"/>
          <w:szCs w:val="32"/>
          <w:highlight w:val="none"/>
        </w:rPr>
        <w:t>月</w:t>
      </w:r>
      <w:r>
        <w:rPr>
          <w:rFonts w:hint="eastAsia" w:ascii="宋体" w:hAnsi="宋体" w:cs="宋体"/>
          <w:b w:val="0"/>
          <w:bCs/>
          <w:color w:val="auto"/>
          <w:spacing w:val="-4"/>
          <w:sz w:val="32"/>
          <w:szCs w:val="32"/>
          <w:highlight w:val="none"/>
          <w:lang w:val="en-US" w:eastAsia="zh-CN"/>
        </w:rPr>
        <w:t>17日</w:t>
      </w:r>
    </w:p>
    <w:p w14:paraId="3B5F2751">
      <w:pPr>
        <w:pStyle w:val="8"/>
        <w:jc w:val="center"/>
        <w:rPr>
          <w:rFonts w:hint="eastAsia" w:ascii="宋体" w:hAnsi="宋体" w:eastAsia="宋体" w:cs="宋体"/>
          <w:color w:val="auto"/>
          <w:highlight w:val="none"/>
        </w:rPr>
      </w:pPr>
    </w:p>
    <w:p w14:paraId="4B497CF8">
      <w:pPr>
        <w:pStyle w:val="8"/>
        <w:jc w:val="center"/>
        <w:rPr>
          <w:rFonts w:hint="eastAsia" w:ascii="宋体" w:hAnsi="宋体" w:eastAsia="宋体" w:cs="宋体"/>
          <w:color w:val="auto"/>
          <w:highlight w:val="none"/>
        </w:rPr>
      </w:pPr>
    </w:p>
    <w:p w14:paraId="55400DDD">
      <w:pPr>
        <w:pStyle w:val="8"/>
        <w:jc w:val="center"/>
        <w:rPr>
          <w:rFonts w:hint="eastAsia" w:ascii="宋体" w:hAnsi="宋体" w:eastAsia="宋体" w:cs="宋体"/>
          <w:color w:val="auto"/>
          <w:highlight w:val="none"/>
        </w:rPr>
      </w:pPr>
    </w:p>
    <w:p w14:paraId="6A9148EA">
      <w:pPr>
        <w:tabs>
          <w:tab w:val="left" w:pos="4620"/>
        </w:tabs>
        <w:spacing w:line="5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目  录</w:t>
      </w:r>
    </w:p>
    <w:p w14:paraId="0ACE7C7B">
      <w:pPr>
        <w:pStyle w:val="10"/>
        <w:tabs>
          <w:tab w:val="right" w:leader="dot" w:pos="8390"/>
        </w:tabs>
        <w:jc w:val="left"/>
        <w:rPr>
          <w:rFonts w:hint="eastAsia" w:ascii="宋体" w:hAnsi="宋体" w:eastAsia="宋体" w:cs="宋体"/>
          <w:bCs/>
          <w:caps/>
          <w:smallCaps/>
          <w:color w:val="auto"/>
          <w:sz w:val="32"/>
          <w:szCs w:val="32"/>
          <w:highlight w:val="none"/>
        </w:rPr>
      </w:pPr>
      <w:bookmarkStart w:id="0" w:name="_Hlt533241375"/>
      <w:bookmarkEnd w:id="0"/>
      <w:bookmarkStart w:id="1" w:name="_Hlt519045295"/>
      <w:bookmarkEnd w:id="1"/>
      <w:bookmarkStart w:id="2" w:name="_Hlt526418134"/>
      <w:bookmarkEnd w:id="2"/>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TOC \o "1-3" \h \z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_Toc20608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第一章  招标公告</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_Toc20608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3</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763D8600">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_Toc8586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第二章 投标人须知前附表</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_Toc8586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6</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6D2A1EC0">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_Toc22493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第三章</w:t>
      </w:r>
      <w:r>
        <w:rPr>
          <w:rFonts w:hint="eastAsia" w:ascii="宋体" w:hAnsi="宋体" w:eastAsia="宋体" w:cs="宋体"/>
          <w:bCs/>
          <w:caps/>
          <w:smallCaps/>
          <w:color w:val="auto"/>
          <w:sz w:val="32"/>
          <w:szCs w:val="32"/>
          <w:highlight w:val="none"/>
          <w:lang w:eastAsia="zh-CN"/>
        </w:rPr>
        <w:t xml:space="preserve">  </w:t>
      </w:r>
      <w:r>
        <w:rPr>
          <w:rFonts w:hint="eastAsia" w:ascii="宋体" w:hAnsi="宋体" w:eastAsia="宋体" w:cs="宋体"/>
          <w:bCs/>
          <w:caps/>
          <w:smallCaps/>
          <w:color w:val="auto"/>
          <w:sz w:val="32"/>
          <w:szCs w:val="32"/>
          <w:highlight w:val="none"/>
        </w:rPr>
        <w:t>需求一览表</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_Toc22493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8</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18824E51">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_Toc2172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第四章 评标办法</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_Toc2172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10</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46BAFFFB">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_Toc20612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第五章 投标人须知</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_Toc20612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15</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1D2AF3FA">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_Toc13590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lang w:val="en-US"/>
        </w:rPr>
        <w:t>第六章 周口市政府采购合同（</w:t>
      </w:r>
      <w:r>
        <w:rPr>
          <w:rFonts w:hint="eastAsia" w:ascii="宋体" w:hAnsi="宋体" w:eastAsia="宋体" w:cs="宋体"/>
          <w:bCs/>
          <w:caps/>
          <w:smallCaps/>
          <w:color w:val="auto"/>
          <w:sz w:val="32"/>
          <w:szCs w:val="32"/>
          <w:highlight w:val="none"/>
          <w:lang w:val="en-US" w:eastAsia="zh-CN"/>
        </w:rPr>
        <w:t>服务</w:t>
      </w:r>
      <w:r>
        <w:rPr>
          <w:rFonts w:hint="eastAsia" w:ascii="宋体" w:hAnsi="宋体" w:eastAsia="宋体" w:cs="宋体"/>
          <w:bCs/>
          <w:caps/>
          <w:smallCaps/>
          <w:color w:val="auto"/>
          <w:sz w:val="32"/>
          <w:szCs w:val="32"/>
          <w:highlight w:val="none"/>
          <w:lang w:val="en-US"/>
        </w:rPr>
        <w:t>类）标准文本</w:t>
      </w:r>
      <w:r>
        <w:rPr>
          <w:rFonts w:hint="eastAsia" w:ascii="宋体" w:hAnsi="宋体" w:eastAsia="宋体" w:cs="宋体"/>
          <w:bCs/>
          <w:caps/>
          <w:smallCaps/>
          <w:color w:val="auto"/>
          <w:sz w:val="32"/>
          <w:szCs w:val="32"/>
          <w:highlight w:val="none"/>
          <w:lang w:val="en-US" w:eastAsia="zh-CN"/>
        </w:rPr>
        <w:t>、</w:t>
      </w:r>
      <w:r>
        <w:rPr>
          <w:rFonts w:hint="eastAsia" w:ascii="宋体" w:hAnsi="宋体" w:eastAsia="宋体" w:cs="宋体"/>
          <w:bCs/>
          <w:caps/>
          <w:smallCaps/>
          <w:color w:val="auto"/>
          <w:sz w:val="32"/>
          <w:szCs w:val="32"/>
          <w:highlight w:val="none"/>
        </w:rPr>
        <w:t>合同签订指引</w:t>
      </w:r>
      <w:r>
        <w:rPr>
          <w:rFonts w:hint="eastAsia" w:ascii="宋体" w:hAnsi="宋体" w:eastAsia="宋体" w:cs="宋体"/>
          <w:bCs/>
          <w:caps/>
          <w:smallCaps/>
          <w:color w:val="auto"/>
          <w:sz w:val="32"/>
          <w:szCs w:val="32"/>
          <w:highlight w:val="none"/>
          <w:lang w:eastAsia="zh-CN"/>
        </w:rPr>
        <w:t>、</w:t>
      </w:r>
      <w:r>
        <w:rPr>
          <w:rFonts w:hint="eastAsia" w:ascii="宋体" w:hAnsi="宋体" w:eastAsia="宋体" w:cs="宋体"/>
          <w:bCs/>
          <w:caps/>
          <w:smallCaps/>
          <w:color w:val="auto"/>
          <w:sz w:val="32"/>
          <w:szCs w:val="32"/>
          <w:highlight w:val="none"/>
        </w:rPr>
        <w:t>供应商履约验收指引</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_Toc13590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28</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52A3E630">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_Toc30673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采购合同内容</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_Toc30673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30</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11D37D99">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_Toc30894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第七章 投标文件格式</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_Toc30894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35</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526B2AAE">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_Toc12913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周口市政府采购合同融资政策告知函</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_Toc12913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47</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6453EF41">
      <w:pPr>
        <w:pStyle w:val="10"/>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end"/>
      </w:r>
    </w:p>
    <w:p w14:paraId="70A2393D">
      <w:pPr>
        <w:pStyle w:val="10"/>
        <w:tabs>
          <w:tab w:val="right" w:leader="dot" w:pos="8390"/>
        </w:tabs>
        <w:jc w:val="left"/>
        <w:rPr>
          <w:rFonts w:hint="eastAsia" w:ascii="宋体" w:hAnsi="宋体" w:eastAsia="宋体" w:cs="宋体"/>
          <w:bCs/>
          <w:caps/>
          <w:smallCaps/>
          <w:color w:val="auto"/>
          <w:sz w:val="32"/>
          <w:szCs w:val="32"/>
          <w:highlight w:val="none"/>
        </w:rPr>
      </w:pPr>
    </w:p>
    <w:p w14:paraId="68B7FEBA">
      <w:pPr>
        <w:pStyle w:val="10"/>
        <w:tabs>
          <w:tab w:val="right" w:leader="dot" w:pos="8390"/>
        </w:tabs>
        <w:jc w:val="left"/>
        <w:rPr>
          <w:rFonts w:hint="eastAsia" w:ascii="宋体" w:hAnsi="宋体" w:eastAsia="宋体" w:cs="宋体"/>
          <w:bCs/>
          <w:caps/>
          <w:smallCaps/>
          <w:color w:val="auto"/>
          <w:sz w:val="32"/>
          <w:szCs w:val="32"/>
          <w:highlight w:val="none"/>
        </w:rPr>
      </w:pPr>
    </w:p>
    <w:p w14:paraId="46EB35AF">
      <w:pPr>
        <w:pStyle w:val="10"/>
        <w:tabs>
          <w:tab w:val="right" w:leader="dot" w:pos="8390"/>
        </w:tabs>
        <w:jc w:val="left"/>
        <w:rPr>
          <w:rFonts w:hint="eastAsia" w:ascii="宋体" w:hAnsi="宋体" w:eastAsia="宋体" w:cs="宋体"/>
          <w:bCs/>
          <w:caps/>
          <w:smallCaps/>
          <w:color w:val="auto"/>
          <w:sz w:val="32"/>
          <w:szCs w:val="32"/>
          <w:highlight w:val="none"/>
        </w:rPr>
      </w:pPr>
    </w:p>
    <w:p w14:paraId="44C68CA6">
      <w:pPr>
        <w:pStyle w:val="10"/>
        <w:tabs>
          <w:tab w:val="right" w:leader="dot" w:pos="8390"/>
        </w:tabs>
        <w:jc w:val="left"/>
        <w:rPr>
          <w:rFonts w:hint="eastAsia" w:ascii="宋体" w:hAnsi="宋体" w:eastAsia="宋体" w:cs="宋体"/>
          <w:bCs/>
          <w:caps/>
          <w:smallCaps/>
          <w:color w:val="auto"/>
          <w:sz w:val="32"/>
          <w:szCs w:val="32"/>
          <w:highlight w:val="none"/>
        </w:rPr>
      </w:pPr>
    </w:p>
    <w:p w14:paraId="69B218B2">
      <w:pPr>
        <w:rPr>
          <w:rFonts w:hint="eastAsia" w:ascii="宋体" w:hAnsi="宋体" w:eastAsia="宋体" w:cs="宋体"/>
          <w:b/>
          <w:bCs/>
          <w:caps/>
          <w:color w:val="auto"/>
          <w:sz w:val="24"/>
          <w:szCs w:val="24"/>
          <w:highlight w:val="none"/>
        </w:rPr>
      </w:pPr>
    </w:p>
    <w:p w14:paraId="4E2BBD05">
      <w:pPr>
        <w:rPr>
          <w:rFonts w:hint="eastAsia" w:ascii="宋体" w:hAnsi="宋体" w:eastAsia="宋体" w:cs="宋体"/>
          <w:b/>
          <w:bCs/>
          <w:caps/>
          <w:color w:val="auto"/>
          <w:sz w:val="24"/>
          <w:szCs w:val="24"/>
          <w:highlight w:val="none"/>
        </w:rPr>
      </w:pPr>
    </w:p>
    <w:p w14:paraId="68954408">
      <w:pPr>
        <w:rPr>
          <w:rFonts w:hint="eastAsia" w:ascii="宋体" w:hAnsi="宋体" w:eastAsia="宋体" w:cs="宋体"/>
          <w:b/>
          <w:bCs/>
          <w:caps/>
          <w:color w:val="auto"/>
          <w:sz w:val="24"/>
          <w:szCs w:val="24"/>
          <w:highlight w:val="none"/>
        </w:rPr>
      </w:pPr>
    </w:p>
    <w:p w14:paraId="375B2A9A">
      <w:pPr>
        <w:rPr>
          <w:rFonts w:hint="eastAsia" w:ascii="宋体" w:hAnsi="宋体" w:eastAsia="宋体" w:cs="宋体"/>
          <w:b/>
          <w:bCs/>
          <w:caps/>
          <w:color w:val="auto"/>
          <w:sz w:val="24"/>
          <w:szCs w:val="24"/>
          <w:highlight w:val="none"/>
        </w:rPr>
      </w:pPr>
    </w:p>
    <w:p w14:paraId="6FCFCA6C">
      <w:pPr>
        <w:rPr>
          <w:rFonts w:hint="eastAsia" w:ascii="宋体" w:hAnsi="宋体" w:eastAsia="宋体" w:cs="宋体"/>
          <w:b/>
          <w:bCs/>
          <w:caps/>
          <w:color w:val="auto"/>
          <w:sz w:val="24"/>
          <w:szCs w:val="24"/>
          <w:highlight w:val="none"/>
        </w:rPr>
      </w:pPr>
    </w:p>
    <w:p w14:paraId="4D75E9E6">
      <w:pPr>
        <w:jc w:val="center"/>
        <w:rPr>
          <w:rFonts w:hint="eastAsia" w:ascii="宋体" w:hAnsi="宋体" w:eastAsia="宋体" w:cs="宋体"/>
          <w:b/>
          <w:bCs/>
          <w:caps/>
          <w:color w:val="auto"/>
          <w:sz w:val="24"/>
          <w:szCs w:val="24"/>
          <w:highlight w:val="none"/>
        </w:rPr>
      </w:pPr>
      <w:r>
        <w:rPr>
          <w:rFonts w:hint="eastAsia" w:ascii="宋体" w:hAnsi="宋体" w:eastAsia="宋体" w:cs="宋体"/>
          <w:b/>
          <w:bCs/>
          <w:caps/>
          <w:color w:val="auto"/>
          <w:sz w:val="24"/>
          <w:szCs w:val="24"/>
          <w:highlight w:val="none"/>
        </w:rPr>
        <w:br w:type="page"/>
      </w:r>
    </w:p>
    <w:p w14:paraId="2DCD0805">
      <w:pPr>
        <w:pStyle w:val="5"/>
        <w:numPr>
          <w:ilvl w:val="0"/>
          <w:numId w:val="1"/>
        </w:numPr>
        <w:spacing w:before="0" w:after="0" w:line="240" w:lineRule="auto"/>
        <w:ind w:firstLine="0"/>
        <w:rPr>
          <w:rFonts w:hint="eastAsia" w:ascii="宋体" w:hAnsi="宋体" w:eastAsia="宋体" w:cs="宋体"/>
          <w:color w:val="auto"/>
          <w:highlight w:val="none"/>
        </w:rPr>
      </w:pPr>
      <w:bookmarkStart w:id="3" w:name="_Toc28426_WPSOffice_Level1"/>
      <w:bookmarkStart w:id="4" w:name="_Toc20608"/>
      <w:r>
        <w:rPr>
          <w:rFonts w:hint="eastAsia" w:ascii="宋体" w:hAnsi="宋体" w:eastAsia="宋体" w:cs="宋体"/>
          <w:color w:val="auto"/>
          <w:highlight w:val="none"/>
        </w:rPr>
        <w:t xml:space="preserve"> 招标公告</w:t>
      </w:r>
      <w:bookmarkEnd w:id="3"/>
      <w:bookmarkEnd w:id="4"/>
    </w:p>
    <w:p w14:paraId="49CA3290">
      <w:pPr>
        <w:rPr>
          <w:rFonts w:hint="eastAsia"/>
          <w:color w:val="auto"/>
          <w:highlight w:val="none"/>
        </w:rPr>
      </w:pPr>
    </w:p>
    <w:p w14:paraId="0C7686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20CA23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 (项目名称) 项目的潜在投标人应在周口市公共资源交易中心网（http://jyzx.zhoukou.gov.cn）获取招标文件，</w:t>
      </w:r>
      <w:bookmarkStart w:id="5" w:name="_Toc35393621"/>
      <w:bookmarkStart w:id="6" w:name="_Toc28359079"/>
      <w:bookmarkStart w:id="7" w:name="_Toc35393790"/>
      <w:bookmarkStart w:id="8" w:name="_Toc28359002"/>
      <w:bookmarkStart w:id="9" w:name="_Hlk24379207"/>
      <w:r>
        <w:rPr>
          <w:rFonts w:hint="eastAsia" w:ascii="宋体" w:hAnsi="宋体" w:eastAsia="宋体" w:cs="宋体"/>
          <w:i w:val="0"/>
          <w:iCs w:val="0"/>
          <w:color w:val="auto"/>
          <w:sz w:val="24"/>
          <w:szCs w:val="24"/>
          <w:highlight w:val="none"/>
          <w:lang w:val="en-US" w:eastAsia="zh-CN"/>
        </w:rPr>
        <w:t>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07</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08</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    分（北京时间）前递交投标文件。</w:t>
      </w:r>
    </w:p>
    <w:p w14:paraId="60D333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一、项目基本情况</w:t>
      </w:r>
      <w:bookmarkEnd w:id="5"/>
      <w:bookmarkEnd w:id="6"/>
      <w:bookmarkEnd w:id="7"/>
      <w:bookmarkEnd w:id="8"/>
    </w:p>
    <w:p w14:paraId="0EC366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项目编号：</w:t>
      </w:r>
      <w:r>
        <w:rPr>
          <w:rFonts w:hint="eastAsia" w:ascii="宋体" w:hAnsi="宋体" w:eastAsia="宋体" w:cs="宋体"/>
          <w:i w:val="0"/>
          <w:iCs w:val="0"/>
          <w:color w:val="auto"/>
          <w:sz w:val="24"/>
          <w:szCs w:val="24"/>
          <w:highlight w:val="none"/>
          <w:lang w:val="en-US" w:eastAsia="zh-CN"/>
        </w:rPr>
        <w:t>鹿财公开-2025-7</w:t>
      </w:r>
    </w:p>
    <w:p w14:paraId="735A24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项目名称：</w:t>
      </w:r>
      <w:r>
        <w:rPr>
          <w:rFonts w:hint="eastAsia" w:ascii="宋体" w:hAnsi="宋体" w:cs="宋体"/>
          <w:i w:val="0"/>
          <w:iCs w:val="0"/>
          <w:color w:val="auto"/>
          <w:sz w:val="24"/>
          <w:szCs w:val="24"/>
          <w:highlight w:val="none"/>
          <w:lang w:val="en-US" w:eastAsia="zh-CN"/>
        </w:rPr>
        <w:t>鹿邑县行政审批和政务信息管理局鹿邑县“互联网+政务服务”平台系统集成服务项目</w:t>
      </w:r>
    </w:p>
    <w:bookmarkEnd w:id="9"/>
    <w:p w14:paraId="274518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预算金额：827.46万元</w:t>
      </w:r>
    </w:p>
    <w:p w14:paraId="7149AD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最高限价（如有）：</w:t>
      </w:r>
      <w:r>
        <w:rPr>
          <w:rFonts w:hint="eastAsia" w:ascii="宋体" w:hAnsi="宋体" w:eastAsia="宋体" w:cs="宋体"/>
          <w:i w:val="0"/>
          <w:iCs w:val="0"/>
          <w:color w:val="auto"/>
          <w:sz w:val="24"/>
          <w:szCs w:val="24"/>
          <w:highlight w:val="none"/>
          <w:lang w:val="en-US" w:eastAsia="zh-CN"/>
        </w:rPr>
        <w:t>827.46万</w:t>
      </w:r>
      <w:r>
        <w:rPr>
          <w:rFonts w:hint="eastAsia" w:ascii="宋体" w:hAnsi="宋体" w:eastAsia="宋体" w:cs="宋体"/>
          <w:i w:val="0"/>
          <w:iCs w:val="0"/>
          <w:color w:val="auto"/>
          <w:sz w:val="24"/>
          <w:szCs w:val="24"/>
          <w:highlight w:val="none"/>
        </w:rPr>
        <w:t>元</w:t>
      </w:r>
      <w:bookmarkStart w:id="223" w:name="_GoBack"/>
      <w:bookmarkEnd w:id="223"/>
    </w:p>
    <w:p w14:paraId="709915F7">
      <w:pPr>
        <w:pStyle w:val="9"/>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kern w:val="0"/>
          <w:sz w:val="24"/>
          <w:szCs w:val="24"/>
          <w:highlight w:val="none"/>
          <w:lang w:val="en-US" w:eastAsia="zh-CN"/>
        </w:rPr>
        <w:t>采购方式：公开招标</w:t>
      </w:r>
    </w:p>
    <w:p w14:paraId="7EEE68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color w:val="auto"/>
          <w:sz w:val="24"/>
          <w:szCs w:val="24"/>
          <w:highlight w:val="none"/>
        </w:rPr>
        <w:t>包别划分</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u w:val="single"/>
          <w:lang w:val="en-US" w:eastAsia="zh-CN"/>
        </w:rPr>
        <w:t xml:space="preserve"> 3 </w:t>
      </w:r>
      <w:r>
        <w:rPr>
          <w:rFonts w:hint="eastAsia" w:ascii="宋体" w:hAnsi="宋体" w:eastAsia="宋体" w:cs="宋体"/>
          <w:i w:val="0"/>
          <w:iCs w:val="0"/>
          <w:color w:val="auto"/>
          <w:sz w:val="24"/>
          <w:szCs w:val="24"/>
          <w:highlight w:val="none"/>
          <w:lang w:val="en-US" w:eastAsia="zh-CN"/>
        </w:rPr>
        <w:t>个包</w:t>
      </w:r>
    </w:p>
    <w:tbl>
      <w:tblPr>
        <w:tblStyle w:val="22"/>
        <w:tblpPr w:leftFromText="180" w:rightFromText="180" w:vertAnchor="text" w:horzAnchor="margin" w:tblpXSpec="center" w:tblpY="154"/>
        <w:tblW w:w="7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4590"/>
        <w:gridCol w:w="2291"/>
      </w:tblGrid>
      <w:tr w14:paraId="319C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87" w:type="dxa"/>
            <w:noWrap w:val="0"/>
            <w:vAlign w:val="center"/>
          </w:tcPr>
          <w:p w14:paraId="384C3D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包号</w:t>
            </w:r>
          </w:p>
        </w:tc>
        <w:tc>
          <w:tcPr>
            <w:tcW w:w="4590" w:type="dxa"/>
            <w:noWrap w:val="0"/>
            <w:vAlign w:val="center"/>
          </w:tcPr>
          <w:p w14:paraId="52B145C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包名称</w:t>
            </w:r>
          </w:p>
        </w:tc>
        <w:tc>
          <w:tcPr>
            <w:tcW w:w="2291" w:type="dxa"/>
            <w:noWrap w:val="0"/>
            <w:vAlign w:val="center"/>
          </w:tcPr>
          <w:p w14:paraId="320E28A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包最高限价</w:t>
            </w:r>
            <w:r>
              <w:rPr>
                <w:rFonts w:hint="eastAsia" w:ascii="宋体" w:hAnsi="宋体" w:eastAsia="宋体" w:cs="宋体"/>
                <w:i w:val="0"/>
                <w:iCs w:val="0"/>
                <w:color w:val="auto"/>
                <w:sz w:val="24"/>
                <w:szCs w:val="24"/>
                <w:highlight w:val="none"/>
                <w:lang w:val="en-US" w:eastAsia="zh-CN"/>
              </w:rPr>
              <w:t>万</w:t>
            </w:r>
            <w:r>
              <w:rPr>
                <w:rFonts w:hint="eastAsia" w:ascii="宋体" w:hAnsi="宋体" w:eastAsia="宋体" w:cs="宋体"/>
                <w:i w:val="0"/>
                <w:iCs w:val="0"/>
                <w:color w:val="auto"/>
                <w:sz w:val="24"/>
                <w:szCs w:val="24"/>
                <w:highlight w:val="none"/>
              </w:rPr>
              <w:t>元</w:t>
            </w:r>
          </w:p>
        </w:tc>
      </w:tr>
      <w:tr w14:paraId="1577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87" w:type="dxa"/>
            <w:noWrap w:val="0"/>
            <w:vAlign w:val="center"/>
          </w:tcPr>
          <w:p w14:paraId="66103D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p>
        </w:tc>
        <w:tc>
          <w:tcPr>
            <w:tcW w:w="4590" w:type="dxa"/>
            <w:noWrap w:val="0"/>
            <w:vAlign w:val="center"/>
          </w:tcPr>
          <w:p w14:paraId="4EA5C2D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硬件设备购置政务服务平台开发及运维服务 </w:t>
            </w:r>
          </w:p>
        </w:tc>
        <w:tc>
          <w:tcPr>
            <w:tcW w:w="2291" w:type="dxa"/>
            <w:noWrap w:val="0"/>
            <w:vAlign w:val="center"/>
          </w:tcPr>
          <w:p w14:paraId="09E82A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w:t>
            </w:r>
            <w:r>
              <w:rPr>
                <w:rFonts w:hint="eastAsia" w:ascii="宋体" w:hAnsi="宋体" w:cs="宋体"/>
                <w:i w:val="0"/>
                <w:iCs w:val="0"/>
                <w:color w:val="auto"/>
                <w:sz w:val="24"/>
                <w:szCs w:val="24"/>
                <w:highlight w:val="none"/>
                <w:lang w:val="en-US" w:eastAsia="zh-CN"/>
              </w:rPr>
              <w:t>78.56</w:t>
            </w:r>
          </w:p>
        </w:tc>
      </w:tr>
      <w:tr w14:paraId="4EE1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987" w:type="dxa"/>
            <w:noWrap w:val="0"/>
            <w:vAlign w:val="center"/>
          </w:tcPr>
          <w:p w14:paraId="7EC1AB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w:t>
            </w:r>
          </w:p>
        </w:tc>
        <w:tc>
          <w:tcPr>
            <w:tcW w:w="4590" w:type="dxa"/>
            <w:noWrap w:val="0"/>
            <w:vAlign w:val="center"/>
          </w:tcPr>
          <w:p w14:paraId="31509D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周到办鹿邑分厅app开发及服务</w:t>
            </w:r>
          </w:p>
        </w:tc>
        <w:tc>
          <w:tcPr>
            <w:tcW w:w="2291" w:type="dxa"/>
            <w:noWrap w:val="0"/>
            <w:vAlign w:val="center"/>
          </w:tcPr>
          <w:p w14:paraId="45750E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133.8</w:t>
            </w:r>
          </w:p>
        </w:tc>
      </w:tr>
      <w:tr w14:paraId="110F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987" w:type="dxa"/>
            <w:noWrap w:val="0"/>
            <w:vAlign w:val="center"/>
          </w:tcPr>
          <w:p w14:paraId="4379B4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w:t>
            </w:r>
          </w:p>
        </w:tc>
        <w:tc>
          <w:tcPr>
            <w:tcW w:w="4590" w:type="dxa"/>
            <w:noWrap w:val="0"/>
            <w:vAlign w:val="center"/>
          </w:tcPr>
          <w:p w14:paraId="273467F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一件事开发及运维服务</w:t>
            </w:r>
          </w:p>
        </w:tc>
        <w:tc>
          <w:tcPr>
            <w:tcW w:w="2291" w:type="dxa"/>
            <w:noWrap w:val="0"/>
            <w:vAlign w:val="center"/>
          </w:tcPr>
          <w:p w14:paraId="425D36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115.1</w:t>
            </w:r>
          </w:p>
        </w:tc>
      </w:tr>
    </w:tbl>
    <w:p w14:paraId="771C65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采购需求：（包括但不限于标的的名称、数量、简要技术需求或服务要求等）</w:t>
      </w:r>
    </w:p>
    <w:p w14:paraId="1CEF1E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合同履行期限：</w:t>
      </w:r>
      <w:r>
        <w:rPr>
          <w:rFonts w:hint="eastAsia" w:ascii="宋体" w:hAnsi="宋体" w:eastAsia="宋体" w:cs="宋体"/>
          <w:i w:val="0"/>
          <w:iCs w:val="0"/>
          <w:color w:val="auto"/>
          <w:sz w:val="24"/>
          <w:szCs w:val="24"/>
          <w:highlight w:val="none"/>
          <w:lang w:val="en-US" w:eastAsia="zh-CN"/>
        </w:rPr>
        <w:t>三年</w:t>
      </w:r>
    </w:p>
    <w:p w14:paraId="21233B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35393622"/>
      <w:bookmarkStart w:id="11" w:name="_Toc35393791"/>
      <w:bookmarkStart w:id="12" w:name="_Toc28359003"/>
      <w:bookmarkStart w:id="13" w:name="_Toc28359080"/>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r>
        <w:rPr>
          <w:rFonts w:hint="eastAsia" w:ascii="宋体" w:hAnsi="宋体" w:eastAsia="宋体" w:cs="宋体"/>
          <w:i w:val="0"/>
          <w:iCs w:val="0"/>
          <w:color w:val="auto"/>
          <w:sz w:val="24"/>
          <w:szCs w:val="24"/>
          <w:highlight w:val="none"/>
        </w:rPr>
        <w:t>（是/否）</w:t>
      </w:r>
    </w:p>
    <w:p w14:paraId="0410FE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r>
        <w:rPr>
          <w:rFonts w:hint="eastAsia" w:ascii="宋体" w:hAnsi="宋体" w:eastAsia="宋体" w:cs="宋体"/>
          <w:i w:val="0"/>
          <w:iCs w:val="0"/>
          <w:color w:val="auto"/>
          <w:sz w:val="24"/>
          <w:szCs w:val="24"/>
          <w:highlight w:val="none"/>
        </w:rPr>
        <w:t>（是/否）</w:t>
      </w:r>
    </w:p>
    <w:p w14:paraId="7893A42E">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 xml:space="preserve">是否为只面向中小企业采购：否        </w:t>
      </w:r>
    </w:p>
    <w:p w14:paraId="7711D058">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必须提供中小企业声明函/否。</w:t>
      </w:r>
    </w:p>
    <w:p w14:paraId="0E550A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二、申请人的资格要求：</w:t>
      </w:r>
      <w:bookmarkEnd w:id="10"/>
      <w:bookmarkEnd w:id="11"/>
      <w:bookmarkEnd w:id="12"/>
      <w:bookmarkEnd w:id="13"/>
    </w:p>
    <w:p w14:paraId="44ABD4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08AEC250">
      <w:pPr>
        <w:pStyle w:val="9"/>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（1）具有独立承担民事责任的能力（企业营业执照等证明文件）；</w:t>
      </w:r>
    </w:p>
    <w:p w14:paraId="050C2BD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eastAsia="zh-CN"/>
        </w:rPr>
        <w:t>2023年度或2024年度的财务</w:t>
      </w:r>
      <w:r>
        <w:rPr>
          <w:rFonts w:hint="eastAsia" w:ascii="宋体" w:hAnsi="宋体" w:eastAsia="宋体" w:cs="宋体"/>
          <w:color w:val="auto"/>
          <w:sz w:val="24"/>
          <w:highlight w:val="none"/>
        </w:rPr>
        <w:t>审计报告或银行出具的资信证明，新成立公司以公司成立起点年度为准）</w:t>
      </w:r>
      <w:r>
        <w:rPr>
          <w:rFonts w:hint="eastAsia" w:ascii="宋体" w:hAnsi="宋体" w:eastAsia="宋体" w:cs="宋体"/>
          <w:color w:val="auto"/>
          <w:sz w:val="24"/>
          <w:highlight w:val="none"/>
          <w:lang w:eastAsia="zh-CN"/>
        </w:rPr>
        <w:t>。</w:t>
      </w:r>
    </w:p>
    <w:p w14:paraId="583D582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r>
        <w:rPr>
          <w:rFonts w:hint="eastAsia" w:ascii="宋体" w:hAnsi="宋体" w:eastAsia="宋体" w:cs="宋体"/>
          <w:color w:val="auto"/>
          <w:sz w:val="24"/>
          <w:highlight w:val="none"/>
        </w:rPr>
        <w:t>（提供书面声明函，格式自拟）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p>
    <w:p w14:paraId="0186208B">
      <w:pPr>
        <w:pStyle w:val="9"/>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r>
        <w:rPr>
          <w:rFonts w:hint="eastAsia" w:hAnsi="宋体" w:eastAsia="宋体" w:cs="宋体"/>
          <w:color w:val="auto"/>
          <w:sz w:val="24"/>
          <w:szCs w:val="24"/>
          <w:highlight w:val="none"/>
          <w:lang w:eastAsia="zh-CN"/>
        </w:rPr>
        <w:t>。</w:t>
      </w:r>
      <w:r>
        <w:rPr>
          <w:rFonts w:hint="eastAsia" w:ascii="宋体" w:hAnsi="宋体" w:eastAsia="宋体" w:cs="宋体"/>
          <w:color w:val="auto"/>
          <w:sz w:val="24"/>
          <w:highlight w:val="none"/>
        </w:rPr>
        <w:t>（提供开标日期前六个月内连续三个月已依法缴纳税收的凭据；提供开标日期前六个月内连续三个月已依法缴纳社会保险的凭据；依法免税或不需要缴纳社会保障资金的供应商，应提供相应证明文件，新成立的公司从成立之日起）</w:t>
      </w:r>
      <w:r>
        <w:rPr>
          <w:rFonts w:hint="eastAsia" w:ascii="宋体" w:hAnsi="宋体" w:eastAsia="宋体" w:cs="宋体"/>
          <w:color w:val="auto"/>
          <w:sz w:val="24"/>
          <w:highlight w:val="none"/>
          <w:lang w:eastAsia="zh-CN"/>
        </w:rPr>
        <w:t>。</w:t>
      </w:r>
    </w:p>
    <w:p w14:paraId="0F99E670">
      <w:pPr>
        <w:pStyle w:val="9"/>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sz w:val="24"/>
          <w:szCs w:val="24"/>
          <w:highlight w:val="none"/>
        </w:rPr>
        <w:t>（5）参加政府采购活动前三年内，在经营活动中没有重大违法记录（提供没有重大违法记录的书面声明函，格式自拟）；</w:t>
      </w:r>
    </w:p>
    <w:p w14:paraId="599D52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4" w:name="_Toc28359081"/>
      <w:bookmarkStart w:id="15" w:name="_Toc28359004"/>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40451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w:t>
      </w:r>
      <w:r>
        <w:rPr>
          <w:rFonts w:hint="eastAsia" w:ascii="宋体" w:hAnsi="宋体" w:cs="宋体"/>
          <w:bCs/>
          <w:color w:val="auto"/>
          <w:kern w:val="0"/>
          <w:sz w:val="24"/>
          <w:highlight w:val="none"/>
        </w:rPr>
        <w:t>供应商须通过“信用中国”网站（www.creditchina.gov.cn)、“中国执行信息公开网”（zxgk.court.gov.cn）对“列入失信被执行人、重大税收违法案件当事人名单、政府采购严重违法失信行为记录名单”企业和法定代表人的查询，通</w:t>
      </w:r>
      <w:r>
        <w:rPr>
          <w:rFonts w:hint="eastAsia" w:ascii="宋体" w:hAnsi="宋体" w:cs="宋体"/>
          <w:color w:val="auto"/>
          <w:sz w:val="24"/>
          <w:highlight w:val="none"/>
        </w:rPr>
        <w:t>过“中国政府采购网”（www.ccgp.gov.cn）对“政府采购严重违法失信行为信息记录”企业信用记录查询（</w:t>
      </w:r>
      <w:r>
        <w:rPr>
          <w:rFonts w:hint="eastAsia" w:ascii="宋体" w:hAnsi="宋体" w:cs="宋体"/>
          <w:bCs/>
          <w:color w:val="auto"/>
          <w:kern w:val="0"/>
          <w:sz w:val="24"/>
          <w:highlight w:val="none"/>
        </w:rPr>
        <w:t>在投标文件中附加盖公章的网页查询扫描件，查询日期为公告发布之日起至投标截止之日止</w:t>
      </w:r>
      <w:r>
        <w:rPr>
          <w:rFonts w:hint="eastAsia" w:ascii="宋体" w:hAnsi="宋体" w:cs="宋体"/>
          <w:color w:val="auto"/>
          <w:sz w:val="24"/>
          <w:highlight w:val="none"/>
        </w:rPr>
        <w:t>）。</w:t>
      </w:r>
    </w:p>
    <w:p w14:paraId="7BB238BB">
      <w:pPr>
        <w:spacing w:line="360" w:lineRule="auto"/>
        <w:ind w:firstLine="480" w:firstLineChars="200"/>
        <w:rPr>
          <w:rFonts w:hint="default" w:eastAsia="宋体"/>
          <w:color w:val="auto"/>
          <w:highlight w:val="none"/>
          <w:lang w:val="en-US" w:eastAsia="zh-CN"/>
        </w:rPr>
      </w:pPr>
      <w:bookmarkStart w:id="16" w:name="_Toc35393792"/>
      <w:bookmarkStart w:id="17" w:name="_Toc35393623"/>
      <w:r>
        <w:rPr>
          <w:rFonts w:hint="eastAsia" w:ascii="宋体" w:hAnsi="宋体" w:eastAsia="宋体" w:cs="宋体"/>
          <w:i w:val="0"/>
          <w:iCs w:val="0"/>
          <w:color w:val="auto"/>
          <w:sz w:val="24"/>
          <w:szCs w:val="24"/>
          <w:highlight w:val="none"/>
          <w:lang w:val="en-US" w:eastAsia="zh-CN"/>
        </w:rPr>
        <w:t>4.</w:t>
      </w:r>
      <w:r>
        <w:rPr>
          <w:rFonts w:hint="eastAsia"/>
          <w:b w:val="0"/>
          <w:bCs/>
          <w:color w:val="auto"/>
          <w:sz w:val="24"/>
          <w:szCs w:val="24"/>
          <w:highlight w:val="none"/>
        </w:rPr>
        <w:t>单位负责人为同一人或者存在控股、管理关系的不同单位，不得参加同一标段投标或者未划分标段的同一招标项目投标。</w:t>
      </w:r>
      <w:r>
        <w:rPr>
          <w:rFonts w:hint="eastAsia" w:ascii="宋体" w:hAnsi="宋体" w:eastAsia="宋体" w:cs="宋体"/>
          <w:color w:val="auto"/>
          <w:spacing w:val="0"/>
          <w:position w:val="0"/>
          <w:sz w:val="24"/>
          <w:szCs w:val="24"/>
          <w:highlight w:val="none"/>
          <w:shd w:val="clear" w:color="auto" w:fill="auto"/>
        </w:rPr>
        <w:t>（提供国家企业信用信息系统查询截图，包括公司基础信息和股东信息，响应文件中提供网站查询截图的扫描件、法定代表人和委托代理人签章并加盖公章。查询时间公告后有效）</w:t>
      </w:r>
    </w:p>
    <w:p w14:paraId="0ABA86FD">
      <w:pPr>
        <w:pStyle w:val="3"/>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根据《政府采购法实施条例》释义“银行、保险、石油石化、电力、电信等有行业特殊情况的，取得营业执照的分支机构可以以分公司名义参与投标，但同一上级公司的两个分支机构不得同时参加投标。采购文件中涉及的“法定代表人”在前述特殊行业中即对应为“分支机构负责人”。）</w:t>
      </w:r>
    </w:p>
    <w:p w14:paraId="5EC10AF8">
      <w:pPr>
        <w:pStyle w:val="2"/>
        <w:rPr>
          <w:rFonts w:hint="eastAsia"/>
          <w:color w:val="auto"/>
          <w:highlight w:val="none"/>
        </w:rPr>
      </w:pPr>
    </w:p>
    <w:p w14:paraId="09EACE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三、获取招标文件</w:t>
      </w:r>
      <w:bookmarkEnd w:id="14"/>
      <w:bookmarkEnd w:id="15"/>
      <w:bookmarkEnd w:id="16"/>
      <w:bookmarkEnd w:id="17"/>
    </w:p>
    <w:p w14:paraId="394AA12B">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i w:val="0"/>
          <w:iCs w:val="0"/>
          <w:color w:val="auto"/>
          <w:sz w:val="24"/>
          <w:szCs w:val="24"/>
          <w:highlight w:val="none"/>
        </w:rPr>
        <w:t>时间：</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17</w:t>
      </w:r>
      <w:r>
        <w:rPr>
          <w:rFonts w:hint="eastAsia" w:ascii="宋体" w:hAnsi="宋体" w:eastAsia="宋体" w:cs="宋体"/>
          <w:i w:val="0"/>
          <w:iCs w:val="0"/>
          <w:color w:val="auto"/>
          <w:sz w:val="24"/>
          <w:szCs w:val="24"/>
          <w:highlight w:val="none"/>
        </w:rPr>
        <w:t xml:space="preserve">日至 </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24</w:t>
      </w:r>
      <w:r>
        <w:rPr>
          <w:rFonts w:hint="eastAsia" w:ascii="宋体" w:hAnsi="宋体" w:eastAsia="宋体" w:cs="宋体"/>
          <w:i w:val="0"/>
          <w:iCs w:val="0"/>
          <w:color w:val="auto"/>
          <w:sz w:val="24"/>
          <w:szCs w:val="24"/>
          <w:highlight w:val="none"/>
        </w:rPr>
        <w:t>日</w:t>
      </w:r>
      <w:r>
        <w:rPr>
          <w:rFonts w:hint="eastAsia" w:ascii="宋体" w:hAnsi="宋体" w:cs="宋体"/>
          <w:color w:val="000000"/>
          <w:sz w:val="24"/>
          <w:szCs w:val="24"/>
        </w:rPr>
        <w:t>（北京时间，法定节假日除外）</w:t>
      </w:r>
      <w:r>
        <w:rPr>
          <w:rFonts w:hint="eastAsia" w:ascii="宋体" w:hAnsi="宋体" w:cs="宋体"/>
          <w:color w:val="000000"/>
          <w:sz w:val="24"/>
          <w:szCs w:val="24"/>
          <w:lang w:eastAsia="zh-CN"/>
        </w:rPr>
        <w:t>。</w:t>
      </w:r>
    </w:p>
    <w:p w14:paraId="3F34B0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43F25D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0E12F6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6A123C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8" w:name="_Toc28359082"/>
      <w:bookmarkStart w:id="19" w:name="_Toc28359005"/>
      <w:bookmarkStart w:id="20" w:name="_Toc35393624"/>
      <w:bookmarkStart w:id="21" w:name="_Toc35393793"/>
      <w:r>
        <w:rPr>
          <w:rFonts w:hint="eastAsia" w:ascii="宋体" w:hAnsi="宋体" w:eastAsia="宋体" w:cs="宋体"/>
          <w:i w:val="0"/>
          <w:iCs w:val="0"/>
          <w:color w:val="auto"/>
          <w:sz w:val="24"/>
          <w:szCs w:val="24"/>
          <w:highlight w:val="none"/>
        </w:rPr>
        <w:t>四、提交投标文件</w:t>
      </w:r>
      <w:bookmarkEnd w:id="18"/>
      <w:bookmarkEnd w:id="19"/>
      <w:r>
        <w:rPr>
          <w:rFonts w:hint="eastAsia" w:ascii="宋体" w:hAnsi="宋体" w:eastAsia="宋体" w:cs="宋体"/>
          <w:i w:val="0"/>
          <w:iCs w:val="0"/>
          <w:color w:val="auto"/>
          <w:sz w:val="24"/>
          <w:szCs w:val="24"/>
          <w:highlight w:val="none"/>
        </w:rPr>
        <w:t>截止时间、开标时间和地点</w:t>
      </w:r>
      <w:bookmarkEnd w:id="20"/>
      <w:bookmarkEnd w:id="21"/>
    </w:p>
    <w:p w14:paraId="6FC8CA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时间：</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 xml:space="preserve"> 年</w:t>
      </w:r>
      <w:r>
        <w:rPr>
          <w:rFonts w:hint="eastAsia" w:ascii="宋体" w:hAnsi="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 xml:space="preserve">日 </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rPr>
        <w:t>分（北京时间）</w:t>
      </w:r>
    </w:p>
    <w:p w14:paraId="089BE0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地点：周口市公共资源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3FCA41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2" w:name="_Toc28359007"/>
      <w:bookmarkStart w:id="23" w:name="_Toc35393794"/>
      <w:bookmarkStart w:id="24" w:name="_Toc35393625"/>
      <w:bookmarkStart w:id="25" w:name="_Toc28359084"/>
      <w:r>
        <w:rPr>
          <w:rFonts w:hint="eastAsia" w:ascii="宋体" w:hAnsi="宋体" w:eastAsia="宋体" w:cs="宋体"/>
          <w:i w:val="0"/>
          <w:iCs w:val="0"/>
          <w:color w:val="auto"/>
          <w:sz w:val="24"/>
          <w:szCs w:val="24"/>
          <w:highlight w:val="none"/>
        </w:rPr>
        <w:t>五、公告期限</w:t>
      </w:r>
      <w:bookmarkEnd w:id="22"/>
      <w:bookmarkEnd w:id="23"/>
      <w:bookmarkEnd w:id="24"/>
      <w:bookmarkEnd w:id="25"/>
    </w:p>
    <w:p w14:paraId="7E8EB3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自本公告发布之日起5个工作日。</w:t>
      </w:r>
    </w:p>
    <w:p w14:paraId="5FB252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6" w:name="_Toc35393626"/>
      <w:bookmarkStart w:id="27" w:name="_Toc35393795"/>
      <w:r>
        <w:rPr>
          <w:rFonts w:hint="eastAsia" w:ascii="宋体" w:hAnsi="宋体" w:eastAsia="宋体" w:cs="宋体"/>
          <w:i w:val="0"/>
          <w:iCs w:val="0"/>
          <w:color w:val="auto"/>
          <w:sz w:val="24"/>
          <w:szCs w:val="24"/>
          <w:highlight w:val="none"/>
        </w:rPr>
        <w:t>六、其他补充事宜</w:t>
      </w:r>
      <w:bookmarkEnd w:id="26"/>
      <w:bookmarkEnd w:id="27"/>
    </w:p>
    <w:p w14:paraId="52ADC6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28" w:name="_Toc35393627"/>
      <w:bookmarkStart w:id="29" w:name="_Toc28359008"/>
      <w:bookmarkStart w:id="30" w:name="_Toc35393796"/>
      <w:bookmarkStart w:id="31" w:name="_Toc28359085"/>
      <w:r>
        <w:rPr>
          <w:rFonts w:hint="eastAsia" w:ascii="宋体" w:hAnsi="宋体" w:eastAsia="宋体" w:cs="宋体"/>
          <w:i w:val="0"/>
          <w:iCs w:val="0"/>
          <w:color w:val="auto"/>
          <w:sz w:val="24"/>
          <w:szCs w:val="24"/>
          <w:highlight w:val="none"/>
          <w:lang w:val="en-US" w:eastAsia="zh-CN"/>
        </w:rPr>
        <w:t>无</w:t>
      </w:r>
    </w:p>
    <w:p w14:paraId="7E05DF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七、对本次招标提出询问，请按以下方式联系。</w:t>
      </w:r>
      <w:bookmarkEnd w:id="28"/>
      <w:bookmarkEnd w:id="29"/>
      <w:bookmarkEnd w:id="30"/>
      <w:bookmarkEnd w:id="31"/>
    </w:p>
    <w:p w14:paraId="207218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1.采购</w:t>
      </w:r>
      <w:r>
        <w:rPr>
          <w:rFonts w:hint="eastAsia" w:ascii="宋体" w:hAnsi="宋体" w:eastAsia="宋体" w:cs="宋体"/>
          <w:i w:val="0"/>
          <w:iCs w:val="0"/>
          <w:color w:val="auto"/>
          <w:sz w:val="24"/>
          <w:szCs w:val="24"/>
          <w:highlight w:val="none"/>
          <w:lang w:val="en-US" w:eastAsia="zh-CN"/>
        </w:rPr>
        <w:t>人信息</w:t>
      </w:r>
    </w:p>
    <w:p w14:paraId="1E17B0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名称：鹿邑县行政审批和政务信息管理局　　　　　　　　　　　　</w:t>
      </w:r>
    </w:p>
    <w:p w14:paraId="57915B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地址：鹿邑县行政服务大厅5楼</w:t>
      </w:r>
      <w:r>
        <w:rPr>
          <w:rFonts w:hint="eastAsia" w:ascii="宋体" w:hAnsi="宋体" w:eastAsia="宋体" w:cs="宋体"/>
          <w:i w:val="0"/>
          <w:iCs w:val="0"/>
          <w:color w:val="auto"/>
          <w:sz w:val="24"/>
          <w:szCs w:val="24"/>
          <w:highlight w:val="none"/>
        </w:rPr>
        <w:t>　　　　　　　　　　　　</w:t>
      </w:r>
    </w:p>
    <w:p w14:paraId="7E6209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费高建</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15939419795</w:t>
      </w:r>
      <w:r>
        <w:rPr>
          <w:rFonts w:hint="eastAsia" w:ascii="宋体" w:hAnsi="宋体" w:eastAsia="宋体" w:cs="宋体"/>
          <w:i w:val="0"/>
          <w:iCs w:val="0"/>
          <w:color w:val="auto"/>
          <w:sz w:val="24"/>
          <w:szCs w:val="24"/>
          <w:highlight w:val="none"/>
        </w:rPr>
        <w:t xml:space="preserve">　　　　　　　　　　　 </w:t>
      </w:r>
      <w:bookmarkStart w:id="32" w:name="_Toc28359086"/>
      <w:bookmarkStart w:id="33" w:name="_Toc28359009"/>
    </w:p>
    <w:p w14:paraId="3094AD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4CB5975B">
      <w:pPr>
        <w:pStyle w:val="9"/>
        <w:adjustRightInd w:val="0"/>
        <w:snapToGrid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w:t>
      </w: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p w14:paraId="0B47F9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496F6A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郭战伟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10"/>
      <w:bookmarkStart w:id="35" w:name="_Toc28359087"/>
      <w:r>
        <w:rPr>
          <w:rFonts w:hint="eastAsia" w:ascii="宋体" w:hAnsi="宋体" w:cs="宋体"/>
          <w:i w:val="0"/>
          <w:iCs w:val="0"/>
          <w:color w:val="auto"/>
          <w:sz w:val="24"/>
          <w:szCs w:val="24"/>
          <w:highlight w:val="none"/>
          <w:lang w:val="en-US" w:eastAsia="zh-CN"/>
        </w:rPr>
        <w:t>0394-8106517 19913276009</w:t>
      </w:r>
      <w:r>
        <w:rPr>
          <w:rFonts w:hint="eastAsia" w:ascii="宋体" w:hAnsi="宋体" w:eastAsia="宋体" w:cs="宋体"/>
          <w:i w:val="0"/>
          <w:iCs w:val="0"/>
          <w:color w:val="auto"/>
          <w:sz w:val="24"/>
          <w:szCs w:val="24"/>
          <w:highlight w:val="none"/>
        </w:rPr>
        <w:t>　　　　　　　　</w:t>
      </w:r>
    </w:p>
    <w:bookmarkEnd w:id="34"/>
    <w:bookmarkEnd w:id="35"/>
    <w:p w14:paraId="526331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3.监督单位：鹿邑县财政局政府采购监督管理科</w:t>
      </w:r>
    </w:p>
    <w:p w14:paraId="5ED1E0E6">
      <w:pPr>
        <w:pStyle w:val="26"/>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03947181669</w:t>
      </w:r>
      <w:r>
        <w:rPr>
          <w:rFonts w:hint="eastAsia" w:ascii="宋体" w:hAnsi="宋体" w:eastAsia="宋体" w:cs="宋体"/>
          <w:i w:val="0"/>
          <w:iCs w:val="0"/>
          <w:color w:val="auto"/>
          <w:sz w:val="24"/>
          <w:szCs w:val="24"/>
          <w:highlight w:val="none"/>
          <w:lang w:val="en-US" w:eastAsia="zh-CN"/>
        </w:rPr>
        <w:t xml:space="preserve">  </w:t>
      </w:r>
    </w:p>
    <w:p w14:paraId="027371AF">
      <w:pPr>
        <w:pStyle w:val="9"/>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7F6E8265">
      <w:pPr>
        <w:pStyle w:val="18"/>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17</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2E19C176">
      <w:pPr>
        <w:keepNext w:val="0"/>
        <w:keepLines w:val="0"/>
        <w:pageBreakBefore w:val="0"/>
        <w:widowControl w:val="0"/>
        <w:kinsoku/>
        <w:wordWrap/>
        <w:overflowPunct/>
        <w:topLinePunct w:val="0"/>
        <w:autoSpaceDE/>
        <w:autoSpaceDN/>
        <w:bidi w:val="0"/>
        <w:adjustRightInd/>
        <w:snapToGrid/>
        <w:spacing w:line="360" w:lineRule="auto"/>
        <w:ind w:firstLine="3360" w:firstLineChars="14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w:t>
      </w:r>
    </w:p>
    <w:p w14:paraId="37D0244E">
      <w:pPr>
        <w:widowControl/>
        <w:jc w:val="left"/>
        <w:rPr>
          <w:rFonts w:ascii="仿宋" w:hAnsi="仿宋" w:eastAsia="仿宋"/>
          <w:color w:val="auto"/>
          <w:sz w:val="28"/>
          <w:szCs w:val="28"/>
          <w:highlight w:val="none"/>
        </w:rPr>
      </w:pPr>
    </w:p>
    <w:p w14:paraId="3B5B7A8D">
      <w:pPr>
        <w:pStyle w:val="5"/>
        <w:ind w:firstLine="0"/>
        <w:rPr>
          <w:rFonts w:hint="eastAsia" w:ascii="宋体" w:hAnsi="宋体" w:eastAsia="宋体" w:cs="宋体"/>
          <w:color w:val="auto"/>
          <w:highlight w:val="none"/>
          <w:lang w:eastAsia="zh-CN"/>
        </w:rPr>
      </w:pPr>
      <w:bookmarkStart w:id="36" w:name="_Hlt510343011"/>
      <w:bookmarkStart w:id="37" w:name="_Hlt510342998"/>
      <w:bookmarkStart w:id="38" w:name="_Toc8586"/>
      <w:bookmarkStart w:id="39" w:name="_Toc7329_WPSOffice_Level1"/>
      <w:r>
        <w:rPr>
          <w:rFonts w:hint="eastAsia" w:ascii="宋体" w:hAnsi="宋体" w:eastAsia="宋体" w:cs="宋体"/>
          <w:color w:val="auto"/>
          <w:highlight w:val="none"/>
        </w:rPr>
        <w:t>第二章 投标人须</w:t>
      </w:r>
      <w:bookmarkEnd w:id="36"/>
      <w:r>
        <w:rPr>
          <w:rFonts w:hint="eastAsia" w:ascii="宋体" w:hAnsi="宋体" w:eastAsia="宋体" w:cs="宋体"/>
          <w:color w:val="auto"/>
          <w:highlight w:val="none"/>
        </w:rPr>
        <w:t>知前</w:t>
      </w:r>
      <w:bookmarkEnd w:id="37"/>
      <w:r>
        <w:rPr>
          <w:rFonts w:hint="eastAsia" w:ascii="宋体" w:hAnsi="宋体" w:eastAsia="宋体" w:cs="宋体"/>
          <w:color w:val="auto"/>
          <w:highlight w:val="none"/>
        </w:rPr>
        <w:t>附表</w:t>
      </w:r>
      <w:bookmarkEnd w:id="38"/>
      <w:bookmarkEnd w:id="39"/>
    </w:p>
    <w:tbl>
      <w:tblPr>
        <w:tblStyle w:val="22"/>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54C6F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4" w:hRule="atLeast"/>
          <w:tblHeader/>
          <w:jc w:val="center"/>
        </w:trPr>
        <w:tc>
          <w:tcPr>
            <w:tcW w:w="788" w:type="dxa"/>
            <w:noWrap w:val="0"/>
            <w:vAlign w:val="center"/>
          </w:tcPr>
          <w:p w14:paraId="3CFBBA6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833" w:type="dxa"/>
            <w:noWrap w:val="0"/>
            <w:vAlign w:val="center"/>
          </w:tcPr>
          <w:p w14:paraId="673695C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c>
          <w:tcPr>
            <w:tcW w:w="6519" w:type="dxa"/>
            <w:noWrap w:val="0"/>
            <w:vAlign w:val="center"/>
          </w:tcPr>
          <w:p w14:paraId="096522B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说明与要求</w:t>
            </w:r>
          </w:p>
        </w:tc>
      </w:tr>
      <w:tr w14:paraId="07F84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noWrap w:val="0"/>
            <w:vAlign w:val="center"/>
          </w:tcPr>
          <w:p w14:paraId="378F926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833" w:type="dxa"/>
            <w:noWrap w:val="0"/>
            <w:vAlign w:val="center"/>
          </w:tcPr>
          <w:p w14:paraId="2CD3B06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tc>
        <w:tc>
          <w:tcPr>
            <w:tcW w:w="6519" w:type="dxa"/>
            <w:noWrap w:val="0"/>
            <w:vAlign w:val="center"/>
          </w:tcPr>
          <w:p w14:paraId="6E45515B">
            <w:pPr>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鹿邑县行政审批和政务信息管理局　</w:t>
            </w:r>
          </w:p>
        </w:tc>
      </w:tr>
      <w:tr w14:paraId="381A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jc w:val="center"/>
        </w:trPr>
        <w:tc>
          <w:tcPr>
            <w:tcW w:w="788" w:type="dxa"/>
            <w:noWrap w:val="0"/>
            <w:vAlign w:val="center"/>
          </w:tcPr>
          <w:p w14:paraId="6E42A74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833" w:type="dxa"/>
            <w:noWrap w:val="0"/>
            <w:vAlign w:val="center"/>
          </w:tcPr>
          <w:p w14:paraId="11CBBA1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w:t>
            </w:r>
          </w:p>
        </w:tc>
        <w:tc>
          <w:tcPr>
            <w:tcW w:w="6519" w:type="dxa"/>
            <w:noWrap w:val="0"/>
            <w:vAlign w:val="center"/>
          </w:tcPr>
          <w:p w14:paraId="56BE384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tc>
      </w:tr>
      <w:tr w14:paraId="3D00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2E0FDA7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833" w:type="dxa"/>
            <w:noWrap w:val="0"/>
            <w:vAlign w:val="center"/>
          </w:tcPr>
          <w:p w14:paraId="7EC51D1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w:t>
            </w:r>
          </w:p>
        </w:tc>
        <w:tc>
          <w:tcPr>
            <w:tcW w:w="6519" w:type="dxa"/>
            <w:noWrap w:val="0"/>
            <w:vAlign w:val="center"/>
          </w:tcPr>
          <w:p w14:paraId="20D6205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称：周口市公共资源交易中心政府采购中心</w:t>
            </w:r>
          </w:p>
          <w:p w14:paraId="3FF2DCA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p>
        </w:tc>
      </w:tr>
      <w:tr w14:paraId="35538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2079730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833" w:type="dxa"/>
            <w:noWrap w:val="0"/>
            <w:vAlign w:val="center"/>
          </w:tcPr>
          <w:p w14:paraId="401FB4E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519" w:type="dxa"/>
            <w:noWrap w:val="0"/>
            <w:vAlign w:val="center"/>
          </w:tcPr>
          <w:p w14:paraId="512D05C1">
            <w:pPr>
              <w:rPr>
                <w:rFonts w:hint="default" w:ascii="宋体" w:hAnsi="宋体" w:eastAsia="宋体" w:cs="宋体"/>
                <w:color w:val="auto"/>
                <w:sz w:val="24"/>
                <w:szCs w:val="24"/>
                <w:highlight w:val="none"/>
                <w:lang w:val="en-US"/>
              </w:rPr>
            </w:pPr>
            <w:r>
              <w:rPr>
                <w:rFonts w:hint="eastAsia" w:ascii="宋体" w:hAnsi="宋体" w:cs="宋体"/>
                <w:color w:val="auto"/>
                <w:sz w:val="24"/>
                <w:szCs w:val="24"/>
                <w:highlight w:val="none"/>
                <w:lang w:val="en-US" w:eastAsia="zh-CN"/>
              </w:rPr>
              <w:t>鹿邑县行政审批和政务信息管理局鹿邑县“互联网+政务服务”平台系统集成服务项目</w:t>
            </w:r>
          </w:p>
          <w:p w14:paraId="7A3A822D">
            <w:pPr>
              <w:rPr>
                <w:rFonts w:hint="eastAsia" w:ascii="宋体" w:hAnsi="宋体" w:eastAsia="宋体" w:cs="宋体"/>
                <w:color w:val="auto"/>
                <w:sz w:val="24"/>
                <w:szCs w:val="24"/>
                <w:highlight w:val="none"/>
              </w:rPr>
            </w:pPr>
          </w:p>
        </w:tc>
      </w:tr>
      <w:tr w14:paraId="73118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2C0A6F7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833" w:type="dxa"/>
            <w:noWrap w:val="0"/>
            <w:vAlign w:val="center"/>
          </w:tcPr>
          <w:p w14:paraId="5294494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tc>
        <w:tc>
          <w:tcPr>
            <w:tcW w:w="6519" w:type="dxa"/>
            <w:noWrap w:val="0"/>
            <w:vAlign w:val="center"/>
          </w:tcPr>
          <w:p w14:paraId="54445FBE">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鹿财公开-2025-7</w:t>
            </w:r>
          </w:p>
        </w:tc>
      </w:tr>
      <w:tr w14:paraId="601D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2A211FC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833" w:type="dxa"/>
            <w:noWrap w:val="0"/>
            <w:vAlign w:val="center"/>
          </w:tcPr>
          <w:p w14:paraId="7511F8C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项目性质</w:t>
            </w:r>
          </w:p>
        </w:tc>
        <w:tc>
          <w:tcPr>
            <w:tcW w:w="6519" w:type="dxa"/>
            <w:noWrap w:val="0"/>
            <w:vAlign w:val="center"/>
          </w:tcPr>
          <w:p w14:paraId="7EB8234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类</w:t>
            </w:r>
          </w:p>
        </w:tc>
      </w:tr>
      <w:tr w14:paraId="7AF8D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0DA4B48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833" w:type="dxa"/>
            <w:noWrap w:val="0"/>
            <w:vAlign w:val="center"/>
          </w:tcPr>
          <w:p w14:paraId="7F0CC2F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tc>
        <w:tc>
          <w:tcPr>
            <w:tcW w:w="6519" w:type="dxa"/>
            <w:noWrap w:val="0"/>
            <w:vAlign w:val="center"/>
          </w:tcPr>
          <w:p w14:paraId="25A6355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财政资金</w:t>
            </w:r>
          </w:p>
        </w:tc>
      </w:tr>
      <w:tr w14:paraId="51296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noWrap w:val="0"/>
            <w:vAlign w:val="center"/>
          </w:tcPr>
          <w:p w14:paraId="5EA5C7F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833" w:type="dxa"/>
            <w:noWrap w:val="0"/>
            <w:vAlign w:val="top"/>
          </w:tcPr>
          <w:p w14:paraId="0B29FDA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包别划分</w:t>
            </w:r>
          </w:p>
        </w:tc>
        <w:tc>
          <w:tcPr>
            <w:tcW w:w="6519" w:type="dxa"/>
            <w:noWrap w:val="0"/>
            <w:vAlign w:val="center"/>
          </w:tcPr>
          <w:p w14:paraId="0864C01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本次招标为</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个包</w:t>
            </w:r>
          </w:p>
        </w:tc>
      </w:tr>
      <w:tr w14:paraId="0CE8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3DA45CF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833" w:type="dxa"/>
            <w:noWrap w:val="0"/>
            <w:vAlign w:val="center"/>
          </w:tcPr>
          <w:p w14:paraId="54427B0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519" w:type="dxa"/>
            <w:noWrap w:val="0"/>
            <w:vAlign w:val="center"/>
          </w:tcPr>
          <w:p w14:paraId="6B158576">
            <w:pPr>
              <w:pStyle w:val="21"/>
              <w:ind w:left="0" w:leftChars="0" w:right="-21" w:firstLine="0" w:firstLineChars="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按年支付</w:t>
            </w:r>
          </w:p>
        </w:tc>
      </w:tr>
      <w:tr w14:paraId="0B69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noWrap w:val="0"/>
            <w:vAlign w:val="center"/>
          </w:tcPr>
          <w:p w14:paraId="67B0BE2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833" w:type="dxa"/>
            <w:noWrap w:val="0"/>
            <w:vAlign w:val="center"/>
          </w:tcPr>
          <w:p w14:paraId="2BA23C6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6519" w:type="dxa"/>
            <w:noWrap w:val="0"/>
            <w:vAlign w:val="center"/>
          </w:tcPr>
          <w:p w14:paraId="034E592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0744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noWrap w:val="0"/>
            <w:vAlign w:val="center"/>
          </w:tcPr>
          <w:p w14:paraId="7F32D09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833" w:type="dxa"/>
            <w:noWrap w:val="0"/>
            <w:vAlign w:val="center"/>
          </w:tcPr>
          <w:p w14:paraId="160DFF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519" w:type="dxa"/>
            <w:noWrap w:val="0"/>
            <w:vAlign w:val="center"/>
          </w:tcPr>
          <w:p w14:paraId="606903A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开标后60天</w:t>
            </w:r>
          </w:p>
        </w:tc>
      </w:tr>
      <w:tr w14:paraId="5073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2C5F8EC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833" w:type="dxa"/>
            <w:noWrap w:val="0"/>
            <w:vAlign w:val="center"/>
          </w:tcPr>
          <w:p w14:paraId="3B2BE67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地点</w:t>
            </w:r>
          </w:p>
        </w:tc>
        <w:tc>
          <w:tcPr>
            <w:tcW w:w="6519" w:type="dxa"/>
            <w:noWrap w:val="0"/>
            <w:vAlign w:val="center"/>
          </w:tcPr>
          <w:p w14:paraId="072CFB6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采购人指定地点</w:t>
            </w:r>
          </w:p>
        </w:tc>
      </w:tr>
      <w:tr w14:paraId="3D4B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0A6A7B7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833" w:type="dxa"/>
            <w:noWrap w:val="0"/>
            <w:vAlign w:val="center"/>
          </w:tcPr>
          <w:p w14:paraId="7CB33E8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期限</w:t>
            </w:r>
          </w:p>
        </w:tc>
        <w:tc>
          <w:tcPr>
            <w:tcW w:w="6519" w:type="dxa"/>
            <w:noWrap w:val="0"/>
            <w:vAlign w:val="center"/>
          </w:tcPr>
          <w:p w14:paraId="41A2A925">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3年</w:t>
            </w:r>
          </w:p>
        </w:tc>
      </w:tr>
      <w:tr w14:paraId="154E8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0897A868">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p>
        </w:tc>
        <w:tc>
          <w:tcPr>
            <w:tcW w:w="2833" w:type="dxa"/>
            <w:noWrap w:val="0"/>
            <w:vAlign w:val="center"/>
          </w:tcPr>
          <w:p w14:paraId="07EE879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投标保证金金额</w:t>
            </w:r>
          </w:p>
        </w:tc>
        <w:tc>
          <w:tcPr>
            <w:tcW w:w="6519" w:type="dxa"/>
            <w:noWrap w:val="0"/>
            <w:vAlign w:val="center"/>
          </w:tcPr>
          <w:p w14:paraId="22EC6CC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不需要缴纳投标保证金</w:t>
            </w:r>
          </w:p>
        </w:tc>
      </w:tr>
      <w:tr w14:paraId="7F84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353C086A">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p>
        </w:tc>
        <w:tc>
          <w:tcPr>
            <w:tcW w:w="2833" w:type="dxa"/>
            <w:noWrap w:val="0"/>
            <w:vAlign w:val="center"/>
          </w:tcPr>
          <w:p w14:paraId="6BA6AD4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w:t>
            </w:r>
          </w:p>
        </w:tc>
        <w:tc>
          <w:tcPr>
            <w:tcW w:w="6519" w:type="dxa"/>
            <w:noWrap w:val="0"/>
            <w:vAlign w:val="center"/>
          </w:tcPr>
          <w:p w14:paraId="2FC348A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疑问的提出与答疑获取详见招标文件第二部分第五章投标人须知第36条。</w:t>
            </w:r>
          </w:p>
          <w:p w14:paraId="7120FAF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00340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2" w:hRule="atLeast"/>
          <w:tblHeader/>
          <w:jc w:val="center"/>
        </w:trPr>
        <w:tc>
          <w:tcPr>
            <w:tcW w:w="788" w:type="dxa"/>
            <w:noWrap w:val="0"/>
            <w:vAlign w:val="center"/>
          </w:tcPr>
          <w:p w14:paraId="169BE87F">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p>
        </w:tc>
        <w:tc>
          <w:tcPr>
            <w:tcW w:w="2833" w:type="dxa"/>
            <w:noWrap w:val="0"/>
            <w:vAlign w:val="center"/>
          </w:tcPr>
          <w:p w14:paraId="1E98F3F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6519" w:type="dxa"/>
            <w:noWrap w:val="0"/>
            <w:vAlign w:val="center"/>
          </w:tcPr>
          <w:p w14:paraId="1258FA9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采购人不组织，响应人自行决定。</w:t>
            </w:r>
          </w:p>
        </w:tc>
      </w:tr>
      <w:tr w14:paraId="3998D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30208546">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p>
        </w:tc>
        <w:tc>
          <w:tcPr>
            <w:tcW w:w="2833" w:type="dxa"/>
            <w:noWrap w:val="0"/>
            <w:vAlign w:val="center"/>
          </w:tcPr>
          <w:p w14:paraId="3EBB031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tc>
        <w:tc>
          <w:tcPr>
            <w:tcW w:w="6519" w:type="dxa"/>
            <w:noWrap w:val="0"/>
            <w:vAlign w:val="center"/>
          </w:tcPr>
          <w:p w14:paraId="3A5E132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1、投标文件为使用周口市公共资源交易中心提供的电子标书制作工具软件（</w:t>
            </w:r>
            <w:r>
              <w:rPr>
                <w:rFonts w:hint="eastAsia" w:ascii="宋体" w:hAnsi="宋体" w:eastAsia="宋体" w:cs="宋体"/>
                <w:color w:val="auto"/>
                <w:highlight w:val="none"/>
              </w:rPr>
              <w:t>http://jyzx.zhoukou.gov.cn</w:t>
            </w:r>
            <w:r>
              <w:rPr>
                <w:rFonts w:hint="eastAsia" w:ascii="宋体" w:hAnsi="宋体" w:eastAsia="宋体" w:cs="宋体"/>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6A95A6B">
            <w:pPr>
              <w:pStyle w:val="18"/>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2、本项目实行网上远程开标无须到现场提交响应文件，未加密的电子投标文件和纸质文件不再提交。</w:t>
            </w:r>
          </w:p>
        </w:tc>
      </w:tr>
      <w:tr w14:paraId="6668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0EAF2D2E">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p>
        </w:tc>
        <w:tc>
          <w:tcPr>
            <w:tcW w:w="2833" w:type="dxa"/>
            <w:noWrap w:val="0"/>
            <w:vAlign w:val="center"/>
          </w:tcPr>
          <w:p w14:paraId="6BF1DFC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6519" w:type="dxa"/>
            <w:noWrap w:val="0"/>
            <w:vAlign w:val="center"/>
          </w:tcPr>
          <w:p w14:paraId="0F86B04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投标截止时间：***年***月  日***（见招标公告）      </w:t>
            </w:r>
          </w:p>
          <w:p w14:paraId="21E401AF">
            <w:pPr>
              <w:rPr>
                <w:rFonts w:hint="eastAsia" w:ascii="宋体" w:hAnsi="宋体" w:eastAsia="宋体"/>
                <w:color w:val="auto"/>
                <w:sz w:val="24"/>
                <w:highlight w:val="none"/>
                <w:lang w:val="en-US" w:eastAsia="zh-CN"/>
              </w:rPr>
            </w:pPr>
            <w:r>
              <w:rPr>
                <w:rFonts w:hint="eastAsia" w:ascii="宋体" w:hAnsi="宋体" w:eastAsia="宋体" w:cs="宋体"/>
                <w:color w:val="auto"/>
                <w:sz w:val="24"/>
                <w:szCs w:val="24"/>
                <w:highlight w:val="none"/>
              </w:rPr>
              <w:t>标书递交地点：</w:t>
            </w: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04BA2240">
            <w:pPr>
              <w:rPr>
                <w:rFonts w:hint="eastAsia" w:ascii="宋体" w:hAnsi="宋体" w:eastAsia="宋体" w:cs="宋体"/>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宋体" w:hAnsi="宋体" w:eastAsia="宋体"/>
                <w:color w:val="auto"/>
                <w:highlight w:val="none"/>
              </w:rPr>
              <w:t>http://jyzx.zhoukou.gov.cn</w:t>
            </w:r>
            <w:r>
              <w:rPr>
                <w:rFonts w:hint="eastAsia" w:ascii="宋体" w:hAnsi="宋体" w:eastAsia="宋体"/>
                <w:color w:val="auto"/>
                <w:highlight w:val="none"/>
                <w:lang w:eastAsia="zh-CN"/>
              </w:rPr>
              <w:t>）</w:t>
            </w:r>
          </w:p>
          <w:p w14:paraId="7F903D92">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（本项目实行网上远程开标无须到现场提交响应文件）</w:t>
            </w:r>
          </w:p>
        </w:tc>
      </w:tr>
      <w:tr w14:paraId="479AB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blHeader/>
          <w:jc w:val="center"/>
        </w:trPr>
        <w:tc>
          <w:tcPr>
            <w:tcW w:w="788" w:type="dxa"/>
            <w:noWrap w:val="0"/>
            <w:vAlign w:val="center"/>
          </w:tcPr>
          <w:p w14:paraId="74C42C65">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w:t>
            </w:r>
          </w:p>
        </w:tc>
        <w:tc>
          <w:tcPr>
            <w:tcW w:w="2833" w:type="dxa"/>
            <w:noWrap w:val="0"/>
            <w:vAlign w:val="center"/>
          </w:tcPr>
          <w:p w14:paraId="6C35FA6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开标时间及地点</w:t>
            </w:r>
          </w:p>
        </w:tc>
        <w:tc>
          <w:tcPr>
            <w:tcW w:w="6519" w:type="dxa"/>
            <w:noWrap w:val="0"/>
            <w:vAlign w:val="center"/>
          </w:tcPr>
          <w:p w14:paraId="584C82E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开标时间：***年***月   日***（见招标公告）      </w:t>
            </w:r>
          </w:p>
          <w:p w14:paraId="4AAB49AE">
            <w:pPr>
              <w:ind w:left="360" w:hanging="360" w:hangingChars="15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开标地点：</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r>
              <w:rPr>
                <w:rFonts w:hint="eastAsia" w:ascii="宋体" w:hAnsi="宋体" w:eastAsia="宋体" w:cs="宋体"/>
                <w:color w:val="auto"/>
                <w:sz w:val="24"/>
                <w:szCs w:val="24"/>
                <w:highlight w:val="none"/>
              </w:rPr>
              <w:t>周口市公共资源交易中心</w:t>
            </w:r>
            <w:r>
              <w:rPr>
                <w:rFonts w:hint="eastAsia" w:ascii="宋体" w:hAnsi="宋体" w:eastAsia="宋体" w:cs="宋体"/>
                <w:i w:val="0"/>
                <w:iCs w:val="0"/>
                <w:color w:val="auto"/>
                <w:sz w:val="24"/>
                <w:szCs w:val="24"/>
                <w:highlight w:val="none"/>
                <w:lang w:val="en-US" w:eastAsia="zh-CN"/>
              </w:rPr>
              <w:t>四楼开标室)</w:t>
            </w:r>
          </w:p>
        </w:tc>
      </w:tr>
      <w:tr w14:paraId="705D7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788" w:type="dxa"/>
            <w:noWrap w:val="0"/>
            <w:vAlign w:val="center"/>
          </w:tcPr>
          <w:p w14:paraId="688B73DE">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w:t>
            </w:r>
          </w:p>
        </w:tc>
        <w:tc>
          <w:tcPr>
            <w:tcW w:w="2833" w:type="dxa"/>
            <w:noWrap w:val="0"/>
            <w:vAlign w:val="center"/>
          </w:tcPr>
          <w:p w14:paraId="0F66547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519" w:type="dxa"/>
            <w:noWrap w:val="0"/>
            <w:vAlign w:val="center"/>
          </w:tcPr>
          <w:p w14:paraId="60EBF46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综合评分法 详见招标文件第一部分第四章评标办法</w:t>
            </w:r>
          </w:p>
        </w:tc>
      </w:tr>
      <w:tr w14:paraId="253FC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75373D84">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2833" w:type="dxa"/>
            <w:noWrap w:val="0"/>
            <w:vAlign w:val="center"/>
          </w:tcPr>
          <w:p w14:paraId="51514823">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其它</w:t>
            </w:r>
          </w:p>
        </w:tc>
        <w:tc>
          <w:tcPr>
            <w:tcW w:w="6519" w:type="dxa"/>
            <w:noWrap w:val="0"/>
            <w:vAlign w:val="center"/>
          </w:tcPr>
          <w:p w14:paraId="48081437">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采购人验收如需第三方质检部门介入，第三方质检验收所需费用由中标人负担。</w:t>
            </w:r>
          </w:p>
        </w:tc>
      </w:tr>
      <w:tr w14:paraId="0BEC6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0A992FBB">
            <w:pPr>
              <w:spacing w:line="500" w:lineRule="exact"/>
              <w:rPr>
                <w:rFonts w:hint="eastAsia" w:ascii="宋体" w:hAnsi="宋体" w:eastAsia="宋体" w:cs="宋体"/>
                <w:color w:val="auto"/>
                <w:sz w:val="24"/>
                <w:szCs w:val="24"/>
                <w:highlight w:val="none"/>
                <w:lang w:val="en-US" w:eastAsia="zh-CN"/>
              </w:rPr>
            </w:pPr>
            <w:r>
              <w:rPr>
                <w:rFonts w:hint="eastAsia" w:ascii="宋体" w:hAnsi="宋体"/>
                <w:color w:val="auto"/>
                <w:sz w:val="24"/>
                <w:szCs w:val="24"/>
                <w:highlight w:val="none"/>
              </w:rPr>
              <w:t>22</w:t>
            </w:r>
          </w:p>
        </w:tc>
        <w:tc>
          <w:tcPr>
            <w:tcW w:w="2833" w:type="dxa"/>
            <w:noWrap w:val="0"/>
            <w:vAlign w:val="center"/>
          </w:tcPr>
          <w:p w14:paraId="1251D6A2">
            <w:pPr>
              <w:rPr>
                <w:rFonts w:hint="eastAsia" w:ascii="宋体" w:hAnsi="宋体" w:eastAsia="宋体" w:cs="宋体"/>
                <w:color w:val="auto"/>
                <w:sz w:val="24"/>
                <w:szCs w:val="24"/>
                <w:highlight w:val="none"/>
              </w:rPr>
            </w:pPr>
            <w:r>
              <w:rPr>
                <w:rFonts w:hint="eastAsia" w:ascii="宋体" w:hAnsi="宋体"/>
                <w:color w:val="auto"/>
                <w:sz w:val="24"/>
                <w:szCs w:val="24"/>
                <w:highlight w:val="none"/>
              </w:rPr>
              <w:t>所属行业</w:t>
            </w:r>
          </w:p>
        </w:tc>
        <w:tc>
          <w:tcPr>
            <w:tcW w:w="6519" w:type="dxa"/>
            <w:noWrap w:val="0"/>
            <w:vAlign w:val="center"/>
          </w:tcPr>
          <w:p w14:paraId="1655EE31">
            <w:pPr>
              <w:rPr>
                <w:rFonts w:hint="eastAsia" w:ascii="宋体" w:hAnsi="宋体" w:eastAsia="宋体" w:cs="宋体"/>
                <w:color w:val="auto"/>
                <w:sz w:val="24"/>
                <w:szCs w:val="24"/>
                <w:highlight w:val="none"/>
              </w:rPr>
            </w:pPr>
            <w:r>
              <w:rPr>
                <w:rFonts w:hint="eastAsia" w:ascii="宋体" w:hAnsi="宋体"/>
                <w:color w:val="auto"/>
                <w:sz w:val="24"/>
                <w:szCs w:val="24"/>
                <w:highlight w:val="none"/>
              </w:rPr>
              <w:t>软件和信息技术服务业</w:t>
            </w:r>
          </w:p>
        </w:tc>
      </w:tr>
      <w:tr w14:paraId="44E4B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220DFA60">
            <w:pPr>
              <w:spacing w:line="500" w:lineRule="exact"/>
              <w:rPr>
                <w:rFonts w:hint="eastAsia" w:ascii="宋体" w:hAnsi="宋体" w:eastAsia="宋体" w:cs="宋体"/>
                <w:color w:val="auto"/>
                <w:sz w:val="24"/>
                <w:szCs w:val="24"/>
                <w:highlight w:val="none"/>
                <w:lang w:val="en-US" w:eastAsia="zh-CN"/>
              </w:rPr>
            </w:pPr>
            <w:r>
              <w:rPr>
                <w:rFonts w:hint="eastAsia" w:ascii="宋体" w:hAnsi="宋体"/>
                <w:color w:val="auto"/>
                <w:sz w:val="24"/>
                <w:szCs w:val="24"/>
                <w:highlight w:val="none"/>
                <w:lang w:val="en-US" w:eastAsia="zh-CN"/>
              </w:rPr>
              <w:t>23</w:t>
            </w:r>
          </w:p>
        </w:tc>
        <w:tc>
          <w:tcPr>
            <w:tcW w:w="2833" w:type="dxa"/>
            <w:noWrap w:val="0"/>
            <w:vAlign w:val="center"/>
          </w:tcPr>
          <w:p w14:paraId="68C15135">
            <w:pPr>
              <w:rPr>
                <w:rFonts w:hint="eastAsia" w:ascii="宋体" w:hAnsi="宋体" w:eastAsia="宋体" w:cs="宋体"/>
                <w:color w:val="auto"/>
                <w:sz w:val="24"/>
                <w:szCs w:val="24"/>
                <w:highlight w:val="none"/>
              </w:rPr>
            </w:pPr>
            <w:r>
              <w:rPr>
                <w:rFonts w:hint="eastAsia" w:ascii="宋体" w:hAnsi="宋体"/>
                <w:color w:val="auto"/>
                <w:sz w:val="24"/>
                <w:szCs w:val="24"/>
                <w:highlight w:val="none"/>
                <w:lang w:val="en-US" w:eastAsia="zh-CN"/>
              </w:rPr>
              <w:t>质保期</w:t>
            </w:r>
          </w:p>
        </w:tc>
        <w:tc>
          <w:tcPr>
            <w:tcW w:w="6519" w:type="dxa"/>
            <w:noWrap w:val="0"/>
            <w:vAlign w:val="center"/>
          </w:tcPr>
          <w:p w14:paraId="4E6E792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三年(同系统运维期限)</w:t>
            </w:r>
          </w:p>
        </w:tc>
      </w:tr>
    </w:tbl>
    <w:p w14:paraId="2E3C7697">
      <w:pPr>
        <w:pStyle w:val="9"/>
        <w:rPr>
          <w:rFonts w:hint="eastAsia" w:ascii="宋体" w:hAnsi="宋体" w:eastAsia="宋体" w:cs="宋体"/>
          <w:color w:val="auto"/>
          <w:highlight w:val="none"/>
          <w:lang w:val="en-US" w:eastAsia="zh-CN"/>
        </w:rPr>
      </w:pPr>
    </w:p>
    <w:p w14:paraId="2CAD8F70">
      <w:pPr>
        <w:pStyle w:val="25"/>
        <w:rPr>
          <w:rFonts w:hint="eastAsia" w:ascii="宋体" w:hAnsi="宋体" w:eastAsia="宋体" w:cs="宋体"/>
          <w:color w:val="auto"/>
          <w:highlight w:val="none"/>
        </w:rPr>
      </w:pPr>
    </w:p>
    <w:p w14:paraId="734DFF77">
      <w:pPr>
        <w:pStyle w:val="5"/>
        <w:ind w:firstLine="0"/>
        <w:rPr>
          <w:rFonts w:hint="eastAsia" w:ascii="宋体" w:hAnsi="宋体" w:eastAsia="宋体" w:cs="宋体"/>
          <w:color w:val="auto"/>
          <w:highlight w:val="none"/>
        </w:rPr>
      </w:pPr>
      <w:bookmarkStart w:id="40" w:name="_Hlt509650351"/>
      <w:bookmarkEnd w:id="40"/>
      <w:bookmarkStart w:id="41" w:name="_Hlt519045778"/>
      <w:bookmarkEnd w:id="41"/>
      <w:bookmarkStart w:id="42" w:name="_Hlt509650027"/>
      <w:bookmarkEnd w:id="42"/>
      <w:bookmarkStart w:id="43" w:name="_Hlt516969057"/>
      <w:bookmarkEnd w:id="43"/>
      <w:bookmarkStart w:id="44" w:name="_Toc450_WPSOffice_Level1"/>
      <w:bookmarkStart w:id="45" w:name="_Toc220232390"/>
      <w:bookmarkStart w:id="46" w:name="_Toc22493"/>
      <w:r>
        <w:rPr>
          <w:rFonts w:hint="eastAsia" w:ascii="宋体" w:hAnsi="宋体" w:eastAsia="宋体" w:cs="宋体"/>
          <w:color w:val="auto"/>
          <w:highlight w:val="none"/>
        </w:rPr>
        <w:t>第三章</w:t>
      </w:r>
      <w:r>
        <w:rPr>
          <w:rFonts w:hint="eastAsia" w:ascii="宋体" w:hAnsi="宋体" w:eastAsia="宋体" w:cs="宋体"/>
          <w:color w:val="auto"/>
          <w:highlight w:val="none"/>
          <w:lang w:eastAsia="zh-CN"/>
        </w:rPr>
        <w:t xml:space="preserve">  </w:t>
      </w:r>
      <w:r>
        <w:rPr>
          <w:rFonts w:hint="eastAsia" w:ascii="宋体" w:hAnsi="宋体" w:eastAsia="宋体" w:cs="宋体"/>
          <w:color w:val="auto"/>
          <w:highlight w:val="none"/>
        </w:rPr>
        <w:t>需求一览表</w:t>
      </w:r>
      <w:bookmarkEnd w:id="44"/>
      <w:bookmarkEnd w:id="45"/>
      <w:bookmarkEnd w:id="46"/>
    </w:p>
    <w:p w14:paraId="716F468F">
      <w:pPr>
        <w:spacing w:line="360" w:lineRule="auto"/>
        <w:ind w:firstLine="480" w:firstLineChars="200"/>
        <w:rPr>
          <w:rFonts w:hint="eastAsia" w:ascii="宋体" w:hAnsi="宋体" w:eastAsia="宋体" w:cs="宋体"/>
          <w:color w:val="auto"/>
          <w:sz w:val="24"/>
          <w:szCs w:val="28"/>
          <w:highlight w:val="none"/>
        </w:rPr>
      </w:pPr>
      <w:bookmarkStart w:id="47" w:name="_Hlt509716920"/>
      <w:bookmarkEnd w:id="47"/>
      <w:r>
        <w:rPr>
          <w:rFonts w:hint="eastAsia" w:ascii="宋体" w:hAnsi="宋体" w:eastAsia="宋体" w:cs="宋体"/>
          <w:color w:val="auto"/>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eastAsia="宋体" w:cs="宋体"/>
          <w:color w:val="auto"/>
          <w:sz w:val="24"/>
          <w:szCs w:val="24"/>
          <w:highlight w:val="none"/>
        </w:rPr>
        <w:t>技术方案或者设备配置，且此方案或配置须经评委会审核认可；</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D2F8F44">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color w:val="auto"/>
          <w:sz w:val="24"/>
          <w:szCs w:val="28"/>
          <w:highlight w:val="none"/>
        </w:rPr>
        <w:cr/>
      </w:r>
      <w:r>
        <w:rPr>
          <w:rFonts w:hint="eastAsia" w:ascii="宋体" w:hAnsi="宋体" w:eastAsia="宋体" w:cs="宋体"/>
          <w:color w:val="auto"/>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eastAsia="宋体" w:cs="宋体"/>
          <w:color w:val="auto"/>
          <w:sz w:val="24"/>
          <w:szCs w:val="28"/>
          <w:highlight w:val="none"/>
        </w:rPr>
        <w:cr/>
      </w:r>
      <w:r>
        <w:rPr>
          <w:rFonts w:hint="eastAsia" w:ascii="宋体" w:hAnsi="宋体" w:eastAsia="宋体" w:cs="宋体"/>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8" w:name="_Toc6821_WPSOffice_Level2"/>
    </w:p>
    <w:p w14:paraId="1AF46031">
      <w:pPr>
        <w:spacing w:line="360" w:lineRule="auto"/>
        <w:ind w:firstLine="643" w:firstLineChars="200"/>
        <w:rPr>
          <w:rFonts w:hint="eastAsia" w:ascii="宋体" w:hAnsi="宋体" w:eastAsia="宋体" w:cs="宋体"/>
          <w:b/>
          <w:color w:val="auto"/>
          <w:sz w:val="32"/>
          <w:szCs w:val="32"/>
          <w:highlight w:val="none"/>
        </w:rPr>
      </w:pPr>
    </w:p>
    <w:p w14:paraId="7EF6D604">
      <w:pPr>
        <w:spacing w:line="360" w:lineRule="auto"/>
        <w:ind w:firstLine="643" w:firstLineChars="200"/>
        <w:rPr>
          <w:rFonts w:hint="eastAsia" w:ascii="宋体" w:hAnsi="宋体" w:eastAsia="宋体" w:cs="宋体"/>
          <w:b/>
          <w:color w:val="auto"/>
          <w:sz w:val="32"/>
          <w:szCs w:val="32"/>
          <w:highlight w:val="none"/>
        </w:rPr>
      </w:pPr>
    </w:p>
    <w:p w14:paraId="0039AB7D">
      <w:pPr>
        <w:spacing w:line="360" w:lineRule="auto"/>
        <w:ind w:firstLine="643" w:firstLineChars="200"/>
        <w:rPr>
          <w:rFonts w:hint="eastAsia" w:ascii="宋体" w:hAnsi="宋体" w:eastAsia="宋体" w:cs="宋体"/>
          <w:b/>
          <w:color w:val="auto"/>
          <w:sz w:val="32"/>
          <w:szCs w:val="32"/>
          <w:highlight w:val="none"/>
        </w:rPr>
      </w:pPr>
    </w:p>
    <w:bookmarkEnd w:id="48"/>
    <w:p w14:paraId="4E8E6222">
      <w:pPr>
        <w:jc w:val="left"/>
        <w:rPr>
          <w:rFonts w:hint="eastAsia" w:ascii="宋体" w:hAnsi="宋体" w:eastAsia="宋体" w:cs="宋体"/>
          <w:color w:val="auto"/>
          <w:highlight w:val="none"/>
        </w:rPr>
        <w:sectPr>
          <w:footerReference r:id="rId3" w:type="default"/>
          <w:pgSz w:w="11906" w:h="16838"/>
          <w:pgMar w:top="1440" w:right="1758" w:bottom="1440" w:left="1758" w:header="851" w:footer="992" w:gutter="0"/>
          <w:cols w:space="720" w:num="1"/>
          <w:docGrid w:linePitch="312" w:charSpace="0"/>
        </w:sectPr>
      </w:pPr>
    </w:p>
    <w:p w14:paraId="5CE90DDE">
      <w:pPr>
        <w:pBdr>
          <w:bottom w:val="dotted" w:color="auto" w:sz="24" w:space="1"/>
        </w:pBdr>
        <w:spacing w:line="360" w:lineRule="auto"/>
        <w:jc w:val="center"/>
        <w:rPr>
          <w:rFonts w:hint="eastAsia" w:ascii="宋体" w:hAnsi="宋体" w:eastAsia="宋体" w:cs="宋体"/>
          <w:b/>
          <w:bCs/>
          <w:i w:val="0"/>
          <w:iCs w:val="0"/>
          <w:color w:val="auto"/>
          <w:kern w:val="0"/>
          <w:sz w:val="40"/>
          <w:szCs w:val="40"/>
          <w:highlight w:val="none"/>
          <w:u w:val="none"/>
          <w:lang w:val="en-US" w:eastAsia="zh-CN" w:bidi="ar"/>
        </w:rPr>
      </w:pPr>
      <w:bookmarkStart w:id="49" w:name="_Toc14806_WPSOffice_Level2"/>
      <w:bookmarkStart w:id="50" w:name="_Toc2172"/>
      <w:bookmarkStart w:id="51" w:name="_Toc11739_WPSOffice_Level1"/>
      <w:r>
        <w:rPr>
          <w:rFonts w:hint="eastAsia" w:ascii="宋体" w:hAnsi="宋体" w:eastAsia="宋体" w:cs="宋体"/>
          <w:b/>
          <w:color w:val="auto"/>
          <w:sz w:val="96"/>
          <w:szCs w:val="96"/>
          <w:highlight w:val="none"/>
        </w:rPr>
        <w:t>服务需求</w:t>
      </w:r>
    </w:p>
    <w:tbl>
      <w:tblPr>
        <w:tblStyle w:val="22"/>
        <w:tblW w:w="30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0"/>
        <w:gridCol w:w="2751"/>
        <w:gridCol w:w="1791"/>
        <w:gridCol w:w="2180"/>
        <w:gridCol w:w="3895"/>
        <w:gridCol w:w="11490"/>
        <w:gridCol w:w="1219"/>
        <w:gridCol w:w="2648"/>
        <w:gridCol w:w="3986"/>
      </w:tblGrid>
      <w:tr w14:paraId="0D92E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8" w:hRule="atLeast"/>
        </w:trPr>
        <w:tc>
          <w:tcPr>
            <w:tcW w:w="30740" w:type="dxa"/>
            <w:gridSpan w:val="9"/>
            <w:tcBorders>
              <w:top w:val="nil"/>
              <w:left w:val="nil"/>
              <w:bottom w:val="nil"/>
              <w:right w:val="nil"/>
            </w:tcBorders>
            <w:noWrap w:val="0"/>
            <w:vAlign w:val="center"/>
          </w:tcPr>
          <w:p w14:paraId="2A67027F">
            <w:pPr>
              <w:keepNext w:val="0"/>
              <w:keepLines w:val="0"/>
              <w:widowControl/>
              <w:suppressLineNumbers w:val="0"/>
              <w:jc w:val="center"/>
              <w:textAlignment w:val="center"/>
              <w:rPr>
                <w:rFonts w:hint="eastAsia" w:ascii="宋体" w:hAnsi="宋体" w:eastAsia="宋体" w:cs="宋体"/>
                <w:b/>
                <w:bCs/>
                <w:i w:val="0"/>
                <w:iCs w:val="0"/>
                <w:color w:val="auto"/>
                <w:sz w:val="40"/>
                <w:szCs w:val="40"/>
                <w:highlight w:val="none"/>
                <w:u w:val="none"/>
              </w:rPr>
            </w:pPr>
            <w:r>
              <w:rPr>
                <w:rFonts w:hint="eastAsia" w:ascii="宋体" w:hAnsi="宋体" w:eastAsia="宋体" w:cs="宋体"/>
                <w:b/>
                <w:bCs/>
                <w:i w:val="0"/>
                <w:iCs w:val="0"/>
                <w:color w:val="auto"/>
                <w:kern w:val="0"/>
                <w:sz w:val="40"/>
                <w:szCs w:val="40"/>
                <w:highlight w:val="none"/>
                <w:u w:val="none"/>
                <w:lang w:val="en-US" w:eastAsia="zh-CN" w:bidi="ar"/>
              </w:rPr>
              <w:t>周到办鹿邑县分厅软件服务费</w:t>
            </w:r>
          </w:p>
        </w:tc>
      </w:tr>
      <w:tr w14:paraId="5AAE9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trPr>
        <w:tc>
          <w:tcPr>
            <w:tcW w:w="0" w:type="auto"/>
            <w:gridSpan w:val="9"/>
            <w:tcBorders>
              <w:top w:val="single" w:color="000000" w:sz="8" w:space="0"/>
              <w:left w:val="single" w:color="000000" w:sz="8" w:space="0"/>
              <w:bottom w:val="single" w:color="000000" w:sz="8" w:space="0"/>
              <w:right w:val="single" w:color="000000" w:sz="8" w:space="0"/>
            </w:tcBorders>
            <w:noWrap/>
            <w:vAlign w:val="center"/>
          </w:tcPr>
          <w:p w14:paraId="5B1930C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周到办鹿邑县分厅工作量表</w:t>
            </w:r>
          </w:p>
        </w:tc>
      </w:tr>
      <w:tr w14:paraId="6379E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trPr>
        <w:tc>
          <w:tcPr>
            <w:tcW w:w="0" w:type="auto"/>
            <w:gridSpan w:val="9"/>
            <w:tcBorders>
              <w:top w:val="single" w:color="000000" w:sz="8" w:space="0"/>
              <w:left w:val="single" w:color="000000" w:sz="8" w:space="0"/>
              <w:bottom w:val="single" w:color="000000" w:sz="8" w:space="0"/>
              <w:right w:val="single" w:color="000000" w:sz="8" w:space="0"/>
            </w:tcBorders>
            <w:noWrap/>
            <w:vAlign w:val="center"/>
          </w:tcPr>
          <w:p w14:paraId="2025BDF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周到办鹿邑县分厅功能清单</w:t>
            </w:r>
          </w:p>
        </w:tc>
      </w:tr>
      <w:tr w14:paraId="36CA9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780" w:type="dxa"/>
            <w:tcBorders>
              <w:top w:val="single" w:color="000000" w:sz="8" w:space="0"/>
              <w:left w:val="single" w:color="000000" w:sz="8" w:space="0"/>
              <w:bottom w:val="single" w:color="000000" w:sz="8" w:space="0"/>
              <w:right w:val="single" w:color="000000" w:sz="8" w:space="0"/>
            </w:tcBorders>
            <w:noWrap w:val="0"/>
            <w:vAlign w:val="center"/>
          </w:tcPr>
          <w:p w14:paraId="459F648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2751" w:type="dxa"/>
            <w:tcBorders>
              <w:top w:val="single" w:color="000000" w:sz="8" w:space="0"/>
              <w:left w:val="nil"/>
              <w:bottom w:val="single" w:color="000000" w:sz="8" w:space="0"/>
              <w:right w:val="single" w:color="000000" w:sz="8" w:space="0"/>
            </w:tcBorders>
            <w:noWrap w:val="0"/>
            <w:vAlign w:val="center"/>
          </w:tcPr>
          <w:p w14:paraId="56D62936">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系统名称</w:t>
            </w:r>
          </w:p>
        </w:tc>
        <w:tc>
          <w:tcPr>
            <w:tcW w:w="1791" w:type="dxa"/>
            <w:tcBorders>
              <w:top w:val="single" w:color="000000" w:sz="8" w:space="0"/>
              <w:left w:val="nil"/>
              <w:bottom w:val="single" w:color="000000" w:sz="8" w:space="0"/>
              <w:right w:val="single" w:color="000000" w:sz="8" w:space="0"/>
            </w:tcBorders>
            <w:noWrap w:val="0"/>
            <w:vAlign w:val="center"/>
          </w:tcPr>
          <w:p w14:paraId="5803C5F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功能点类型</w:t>
            </w:r>
          </w:p>
        </w:tc>
        <w:tc>
          <w:tcPr>
            <w:tcW w:w="2180" w:type="dxa"/>
            <w:tcBorders>
              <w:top w:val="single" w:color="000000" w:sz="8" w:space="0"/>
              <w:left w:val="nil"/>
              <w:bottom w:val="single" w:color="000000" w:sz="8" w:space="0"/>
              <w:right w:val="single" w:color="000000" w:sz="8" w:space="0"/>
            </w:tcBorders>
            <w:noWrap w:val="0"/>
            <w:vAlign w:val="center"/>
          </w:tcPr>
          <w:p w14:paraId="5138560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子系统名称</w:t>
            </w:r>
          </w:p>
        </w:tc>
        <w:tc>
          <w:tcPr>
            <w:tcW w:w="3895" w:type="dxa"/>
            <w:tcBorders>
              <w:top w:val="single" w:color="000000" w:sz="8" w:space="0"/>
              <w:left w:val="nil"/>
              <w:bottom w:val="single" w:color="000000" w:sz="8" w:space="0"/>
              <w:right w:val="single" w:color="000000" w:sz="8" w:space="0"/>
            </w:tcBorders>
            <w:noWrap w:val="0"/>
            <w:vAlign w:val="center"/>
          </w:tcPr>
          <w:p w14:paraId="7290B99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功能点名称</w:t>
            </w:r>
          </w:p>
        </w:tc>
        <w:tc>
          <w:tcPr>
            <w:tcW w:w="11490" w:type="dxa"/>
            <w:tcBorders>
              <w:top w:val="single" w:color="000000" w:sz="8" w:space="0"/>
              <w:left w:val="nil"/>
              <w:bottom w:val="single" w:color="000000" w:sz="8" w:space="0"/>
              <w:right w:val="single" w:color="000000" w:sz="8" w:space="0"/>
            </w:tcBorders>
            <w:noWrap w:val="0"/>
            <w:vAlign w:val="center"/>
          </w:tcPr>
          <w:p w14:paraId="5E7E2B3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功能点描述</w:t>
            </w:r>
          </w:p>
        </w:tc>
        <w:tc>
          <w:tcPr>
            <w:tcW w:w="1219" w:type="dxa"/>
            <w:tcBorders>
              <w:top w:val="single" w:color="000000" w:sz="8" w:space="0"/>
              <w:left w:val="nil"/>
              <w:bottom w:val="single" w:color="000000" w:sz="8" w:space="0"/>
              <w:right w:val="single" w:color="000000" w:sz="8" w:space="0"/>
            </w:tcBorders>
            <w:noWrap w:val="0"/>
            <w:vAlign w:val="center"/>
          </w:tcPr>
          <w:p w14:paraId="39F727A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2648" w:type="dxa"/>
            <w:tcBorders>
              <w:top w:val="single" w:color="000000" w:sz="8" w:space="0"/>
              <w:left w:val="single" w:color="000000" w:sz="8" w:space="0"/>
              <w:bottom w:val="single" w:color="000000" w:sz="8" w:space="0"/>
              <w:right w:val="single" w:color="000000" w:sz="8" w:space="0"/>
            </w:tcBorders>
            <w:noWrap w:val="0"/>
            <w:vAlign w:val="center"/>
          </w:tcPr>
          <w:p w14:paraId="3307ABE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EIF/ILF数</w:t>
            </w:r>
          </w:p>
        </w:tc>
        <w:tc>
          <w:tcPr>
            <w:tcW w:w="3986" w:type="dxa"/>
            <w:tcBorders>
              <w:top w:val="single" w:color="000000" w:sz="8" w:space="0"/>
              <w:left w:val="single" w:color="000000" w:sz="8" w:space="0"/>
              <w:bottom w:val="single" w:color="000000" w:sz="8" w:space="0"/>
              <w:right w:val="single" w:color="000000" w:sz="8" w:space="0"/>
            </w:tcBorders>
            <w:noWrap w:val="0"/>
            <w:vAlign w:val="center"/>
          </w:tcPr>
          <w:p w14:paraId="1F37AE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备注</w:t>
            </w:r>
          </w:p>
        </w:tc>
      </w:tr>
      <w:tr w14:paraId="452D8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79B3E4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751" w:type="dxa"/>
            <w:tcBorders>
              <w:top w:val="nil"/>
              <w:left w:val="nil"/>
              <w:bottom w:val="single" w:color="000000" w:sz="8" w:space="0"/>
              <w:right w:val="single" w:color="000000" w:sz="8" w:space="0"/>
            </w:tcBorders>
            <w:noWrap w:val="0"/>
            <w:vAlign w:val="center"/>
          </w:tcPr>
          <w:p w14:paraId="21E2F2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7983F8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04FCA4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基础服务平台</w:t>
            </w:r>
          </w:p>
        </w:tc>
        <w:tc>
          <w:tcPr>
            <w:tcW w:w="3895" w:type="dxa"/>
            <w:tcBorders>
              <w:top w:val="nil"/>
              <w:left w:val="nil"/>
              <w:bottom w:val="single" w:color="000000" w:sz="8" w:space="0"/>
              <w:right w:val="single" w:color="000000" w:sz="8" w:space="0"/>
            </w:tcBorders>
            <w:noWrap w:val="0"/>
            <w:vAlign w:val="center"/>
          </w:tcPr>
          <w:p w14:paraId="13BEA6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ESB管理</w:t>
            </w:r>
          </w:p>
        </w:tc>
        <w:tc>
          <w:tcPr>
            <w:tcW w:w="11490" w:type="dxa"/>
            <w:tcBorders>
              <w:top w:val="nil"/>
              <w:left w:val="nil"/>
              <w:bottom w:val="single" w:color="000000" w:sz="8" w:space="0"/>
              <w:right w:val="single" w:color="000000" w:sz="8" w:space="0"/>
            </w:tcBorders>
            <w:noWrap w:val="0"/>
            <w:vAlign w:val="center"/>
          </w:tcPr>
          <w:p w14:paraId="680162D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ESB平台是一个具有标准接口、实现了互连、通信、服务路由，面向服务架构的企业级信息系统基础平台，为系统提供数据传输服务。</w:t>
            </w:r>
          </w:p>
        </w:tc>
        <w:tc>
          <w:tcPr>
            <w:tcW w:w="0" w:type="auto"/>
            <w:tcBorders>
              <w:top w:val="nil"/>
              <w:left w:val="nil"/>
              <w:bottom w:val="single" w:color="000000" w:sz="8" w:space="0"/>
              <w:right w:val="single" w:color="000000" w:sz="8" w:space="0"/>
            </w:tcBorders>
            <w:noWrap/>
            <w:vAlign w:val="center"/>
          </w:tcPr>
          <w:p w14:paraId="3898615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00750E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596C30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4296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8" w:hRule="atLeast"/>
        </w:trPr>
        <w:tc>
          <w:tcPr>
            <w:tcW w:w="0" w:type="auto"/>
            <w:tcBorders>
              <w:top w:val="nil"/>
              <w:left w:val="single" w:color="000000" w:sz="8" w:space="0"/>
              <w:bottom w:val="single" w:color="000000" w:sz="8" w:space="0"/>
              <w:right w:val="single" w:color="000000" w:sz="8" w:space="0"/>
            </w:tcBorders>
            <w:noWrap/>
            <w:vAlign w:val="center"/>
          </w:tcPr>
          <w:p w14:paraId="2C8638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751" w:type="dxa"/>
            <w:tcBorders>
              <w:top w:val="nil"/>
              <w:left w:val="nil"/>
              <w:bottom w:val="single" w:color="000000" w:sz="8" w:space="0"/>
              <w:right w:val="single" w:color="000000" w:sz="8" w:space="0"/>
            </w:tcBorders>
            <w:noWrap w:val="0"/>
            <w:vAlign w:val="center"/>
          </w:tcPr>
          <w:p w14:paraId="277B4D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1577A4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65DF22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基础服务平台</w:t>
            </w:r>
          </w:p>
        </w:tc>
        <w:tc>
          <w:tcPr>
            <w:tcW w:w="3895" w:type="dxa"/>
            <w:tcBorders>
              <w:top w:val="nil"/>
              <w:left w:val="nil"/>
              <w:bottom w:val="single" w:color="000000" w:sz="8" w:space="0"/>
              <w:right w:val="single" w:color="000000" w:sz="8" w:space="0"/>
            </w:tcBorders>
            <w:noWrap w:val="0"/>
            <w:vAlign w:val="center"/>
          </w:tcPr>
          <w:p w14:paraId="55CFD1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统一身份认证</w:t>
            </w:r>
          </w:p>
        </w:tc>
        <w:tc>
          <w:tcPr>
            <w:tcW w:w="11490" w:type="dxa"/>
            <w:tcBorders>
              <w:top w:val="nil"/>
              <w:left w:val="nil"/>
              <w:bottom w:val="single" w:color="000000" w:sz="8" w:space="0"/>
              <w:right w:val="single" w:color="000000" w:sz="8" w:space="0"/>
            </w:tcBorders>
            <w:noWrap w:val="0"/>
            <w:vAlign w:val="center"/>
          </w:tcPr>
          <w:p w14:paraId="35B29A0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身份认证平台是指实现平台用户、角色和组织机构统一化管理，实现各种应用系统间跨域的单点登录和单点退出和统一的身份认证功能，简化用户的操作，也保证了同一用户在不同的应用系统中身份的一致性。</w:t>
            </w:r>
          </w:p>
        </w:tc>
        <w:tc>
          <w:tcPr>
            <w:tcW w:w="0" w:type="auto"/>
            <w:tcBorders>
              <w:top w:val="nil"/>
              <w:left w:val="nil"/>
              <w:bottom w:val="single" w:color="000000" w:sz="8" w:space="0"/>
              <w:right w:val="single" w:color="000000" w:sz="8" w:space="0"/>
            </w:tcBorders>
            <w:noWrap/>
            <w:vAlign w:val="center"/>
          </w:tcPr>
          <w:p w14:paraId="4C671B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0515BB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017BDC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8F95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8" w:hRule="atLeast"/>
        </w:trPr>
        <w:tc>
          <w:tcPr>
            <w:tcW w:w="0" w:type="auto"/>
            <w:tcBorders>
              <w:top w:val="nil"/>
              <w:left w:val="single" w:color="000000" w:sz="8" w:space="0"/>
              <w:bottom w:val="single" w:color="000000" w:sz="8" w:space="0"/>
              <w:right w:val="single" w:color="000000" w:sz="8" w:space="0"/>
            </w:tcBorders>
            <w:noWrap/>
            <w:vAlign w:val="center"/>
          </w:tcPr>
          <w:p w14:paraId="1C6BF6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2751" w:type="dxa"/>
            <w:tcBorders>
              <w:top w:val="nil"/>
              <w:left w:val="nil"/>
              <w:bottom w:val="single" w:color="000000" w:sz="8" w:space="0"/>
              <w:right w:val="single" w:color="000000" w:sz="8" w:space="0"/>
            </w:tcBorders>
            <w:noWrap w:val="0"/>
            <w:vAlign w:val="center"/>
          </w:tcPr>
          <w:p w14:paraId="794399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2C5733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3C39FD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基础服务平台</w:t>
            </w:r>
          </w:p>
        </w:tc>
        <w:tc>
          <w:tcPr>
            <w:tcW w:w="3895" w:type="dxa"/>
            <w:tcBorders>
              <w:top w:val="nil"/>
              <w:left w:val="nil"/>
              <w:bottom w:val="single" w:color="000000" w:sz="8" w:space="0"/>
              <w:right w:val="single" w:color="000000" w:sz="8" w:space="0"/>
            </w:tcBorders>
            <w:noWrap w:val="0"/>
            <w:vAlign w:val="center"/>
          </w:tcPr>
          <w:p w14:paraId="336B69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移动端管理</w:t>
            </w:r>
          </w:p>
        </w:tc>
        <w:tc>
          <w:tcPr>
            <w:tcW w:w="11490" w:type="dxa"/>
            <w:tcBorders>
              <w:top w:val="nil"/>
              <w:left w:val="nil"/>
              <w:bottom w:val="single" w:color="000000" w:sz="8" w:space="0"/>
              <w:right w:val="single" w:color="000000" w:sz="8" w:space="0"/>
            </w:tcBorders>
            <w:noWrap w:val="0"/>
            <w:vAlign w:val="center"/>
          </w:tcPr>
          <w:p w14:paraId="2ADB13D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移动端管理系统是对信息门户（WEB）、手机应用、微信公众号、小程序等门户信息管理。主要包括新闻管理、服务信息管理、系统设置等，保障鹿邑县门户网站及APP的正常运行。</w:t>
            </w:r>
          </w:p>
        </w:tc>
        <w:tc>
          <w:tcPr>
            <w:tcW w:w="0" w:type="auto"/>
            <w:tcBorders>
              <w:top w:val="nil"/>
              <w:left w:val="nil"/>
              <w:bottom w:val="single" w:color="000000" w:sz="8" w:space="0"/>
              <w:right w:val="single" w:color="000000" w:sz="8" w:space="0"/>
            </w:tcBorders>
            <w:noWrap/>
            <w:vAlign w:val="center"/>
          </w:tcPr>
          <w:p w14:paraId="3A3255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52F8693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203F7D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2D2C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0" w:hRule="atLeast"/>
        </w:trPr>
        <w:tc>
          <w:tcPr>
            <w:tcW w:w="0" w:type="auto"/>
            <w:tcBorders>
              <w:top w:val="nil"/>
              <w:left w:val="single" w:color="000000" w:sz="8" w:space="0"/>
              <w:bottom w:val="single" w:color="000000" w:sz="8" w:space="0"/>
              <w:right w:val="single" w:color="000000" w:sz="8" w:space="0"/>
            </w:tcBorders>
            <w:noWrap/>
            <w:vAlign w:val="center"/>
          </w:tcPr>
          <w:p w14:paraId="2B15B1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2751" w:type="dxa"/>
            <w:tcBorders>
              <w:top w:val="nil"/>
              <w:left w:val="nil"/>
              <w:bottom w:val="single" w:color="000000" w:sz="8" w:space="0"/>
              <w:right w:val="single" w:color="000000" w:sz="8" w:space="0"/>
            </w:tcBorders>
            <w:noWrap w:val="0"/>
            <w:vAlign w:val="center"/>
          </w:tcPr>
          <w:p w14:paraId="306EDF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311629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09B401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基础服务平台</w:t>
            </w:r>
          </w:p>
        </w:tc>
        <w:tc>
          <w:tcPr>
            <w:tcW w:w="3895" w:type="dxa"/>
            <w:tcBorders>
              <w:top w:val="nil"/>
              <w:left w:val="nil"/>
              <w:bottom w:val="single" w:color="000000" w:sz="8" w:space="0"/>
              <w:right w:val="single" w:color="000000" w:sz="8" w:space="0"/>
            </w:tcBorders>
            <w:noWrap w:val="0"/>
            <w:vAlign w:val="center"/>
          </w:tcPr>
          <w:p w14:paraId="585372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监控预警系统</w:t>
            </w:r>
          </w:p>
        </w:tc>
        <w:tc>
          <w:tcPr>
            <w:tcW w:w="11490" w:type="dxa"/>
            <w:tcBorders>
              <w:top w:val="nil"/>
              <w:left w:val="nil"/>
              <w:bottom w:val="single" w:color="000000" w:sz="8" w:space="0"/>
              <w:right w:val="single" w:color="000000" w:sz="8" w:space="0"/>
            </w:tcBorders>
            <w:noWrap w:val="0"/>
            <w:vAlign w:val="center"/>
          </w:tcPr>
          <w:p w14:paraId="333A083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监控预警系统是对平台运行的服务、硬件资源、整体运营数据进行实时监控管理，并设置预警指标，实现对突发情况的及时掌控和处理，为“周到办鹿邑县分厅”APP系统的正常运行保驾护航。监控预警平台从功能实现划分，又分为三个模块，分别是服务监控、硬件资源监控和预警管理。</w:t>
            </w:r>
          </w:p>
        </w:tc>
        <w:tc>
          <w:tcPr>
            <w:tcW w:w="0" w:type="auto"/>
            <w:tcBorders>
              <w:top w:val="nil"/>
              <w:left w:val="nil"/>
              <w:bottom w:val="single" w:color="000000" w:sz="8" w:space="0"/>
              <w:right w:val="single" w:color="000000" w:sz="8" w:space="0"/>
            </w:tcBorders>
            <w:noWrap/>
            <w:vAlign w:val="center"/>
          </w:tcPr>
          <w:p w14:paraId="05AB37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6BEBC6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3E6D1E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AA30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140625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2751" w:type="dxa"/>
            <w:tcBorders>
              <w:top w:val="nil"/>
              <w:left w:val="nil"/>
              <w:bottom w:val="single" w:color="000000" w:sz="8" w:space="0"/>
              <w:right w:val="single" w:color="000000" w:sz="8" w:space="0"/>
            </w:tcBorders>
            <w:noWrap w:val="0"/>
            <w:vAlign w:val="center"/>
          </w:tcPr>
          <w:p w14:paraId="2C9A9B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6FFD6B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3CFD57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基础服务平台</w:t>
            </w:r>
          </w:p>
        </w:tc>
        <w:tc>
          <w:tcPr>
            <w:tcW w:w="3895" w:type="dxa"/>
            <w:tcBorders>
              <w:top w:val="nil"/>
              <w:left w:val="nil"/>
              <w:bottom w:val="single" w:color="000000" w:sz="8" w:space="0"/>
              <w:right w:val="single" w:color="000000" w:sz="8" w:space="0"/>
            </w:tcBorders>
            <w:noWrap w:val="0"/>
            <w:vAlign w:val="center"/>
          </w:tcPr>
          <w:p w14:paraId="720932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日志管理</w:t>
            </w:r>
          </w:p>
        </w:tc>
        <w:tc>
          <w:tcPr>
            <w:tcW w:w="11490" w:type="dxa"/>
            <w:tcBorders>
              <w:top w:val="nil"/>
              <w:left w:val="nil"/>
              <w:bottom w:val="single" w:color="000000" w:sz="8" w:space="0"/>
              <w:right w:val="single" w:color="000000" w:sz="8" w:space="0"/>
            </w:tcBorders>
            <w:noWrap w:val="0"/>
            <w:vAlign w:val="center"/>
          </w:tcPr>
          <w:p w14:paraId="2CE335A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日志服务平台是对各平台的系统日志、操作日志、行为日志进行统一记录、采集存储，并提供日志统一查询和下载，保障平台所有数据的可追溯性。</w:t>
            </w:r>
          </w:p>
        </w:tc>
        <w:tc>
          <w:tcPr>
            <w:tcW w:w="0" w:type="auto"/>
            <w:tcBorders>
              <w:top w:val="nil"/>
              <w:left w:val="nil"/>
              <w:bottom w:val="single" w:color="000000" w:sz="8" w:space="0"/>
              <w:right w:val="single" w:color="000000" w:sz="8" w:space="0"/>
            </w:tcBorders>
            <w:noWrap/>
            <w:vAlign w:val="center"/>
          </w:tcPr>
          <w:p w14:paraId="63E50D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7435E7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0" w:type="auto"/>
            <w:tcBorders>
              <w:top w:val="nil"/>
              <w:left w:val="nil"/>
              <w:bottom w:val="single" w:color="000000" w:sz="8" w:space="0"/>
              <w:right w:val="single" w:color="000000" w:sz="8" w:space="0"/>
            </w:tcBorders>
            <w:noWrap/>
            <w:vAlign w:val="center"/>
          </w:tcPr>
          <w:p w14:paraId="1E6207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D365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43277E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2751" w:type="dxa"/>
            <w:tcBorders>
              <w:top w:val="nil"/>
              <w:left w:val="nil"/>
              <w:bottom w:val="single" w:color="000000" w:sz="8" w:space="0"/>
              <w:right w:val="single" w:color="000000" w:sz="8" w:space="0"/>
            </w:tcBorders>
            <w:noWrap w:val="0"/>
            <w:vAlign w:val="center"/>
          </w:tcPr>
          <w:p w14:paraId="15F38F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399FA2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72FB19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基础服务平台</w:t>
            </w:r>
          </w:p>
        </w:tc>
        <w:tc>
          <w:tcPr>
            <w:tcW w:w="3895" w:type="dxa"/>
            <w:tcBorders>
              <w:top w:val="nil"/>
              <w:left w:val="nil"/>
              <w:bottom w:val="single" w:color="000000" w:sz="8" w:space="0"/>
              <w:right w:val="single" w:color="000000" w:sz="8" w:space="0"/>
            </w:tcBorders>
            <w:noWrap w:val="0"/>
            <w:vAlign w:val="center"/>
          </w:tcPr>
          <w:p w14:paraId="1928BB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信息推送</w:t>
            </w:r>
          </w:p>
        </w:tc>
        <w:tc>
          <w:tcPr>
            <w:tcW w:w="11490" w:type="dxa"/>
            <w:tcBorders>
              <w:top w:val="nil"/>
              <w:left w:val="nil"/>
              <w:bottom w:val="single" w:color="000000" w:sz="8" w:space="0"/>
              <w:right w:val="single" w:color="000000" w:sz="8" w:space="0"/>
            </w:tcBorders>
            <w:noWrap w:val="0"/>
            <w:vAlign w:val="center"/>
          </w:tcPr>
          <w:p w14:paraId="6DD5D17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信息推送平台是指平台通过APP应用内推送主动向用户推送系统通知、活动通知等消息，同时也对发送和短信模板进行管理，方便其他业务调用和后续查看记录。</w:t>
            </w:r>
          </w:p>
        </w:tc>
        <w:tc>
          <w:tcPr>
            <w:tcW w:w="0" w:type="auto"/>
            <w:tcBorders>
              <w:top w:val="nil"/>
              <w:left w:val="nil"/>
              <w:bottom w:val="single" w:color="000000" w:sz="8" w:space="0"/>
              <w:right w:val="single" w:color="000000" w:sz="8" w:space="0"/>
            </w:tcBorders>
            <w:noWrap/>
            <w:vAlign w:val="center"/>
          </w:tcPr>
          <w:p w14:paraId="020649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550C23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0" w:type="auto"/>
            <w:tcBorders>
              <w:top w:val="nil"/>
              <w:left w:val="nil"/>
              <w:bottom w:val="single" w:color="000000" w:sz="8" w:space="0"/>
              <w:right w:val="single" w:color="000000" w:sz="8" w:space="0"/>
            </w:tcBorders>
            <w:noWrap/>
            <w:vAlign w:val="center"/>
          </w:tcPr>
          <w:p w14:paraId="0F79A6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1109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6" w:hRule="atLeast"/>
        </w:trPr>
        <w:tc>
          <w:tcPr>
            <w:tcW w:w="0" w:type="auto"/>
            <w:tcBorders>
              <w:top w:val="nil"/>
              <w:left w:val="single" w:color="000000" w:sz="8" w:space="0"/>
              <w:bottom w:val="single" w:color="000000" w:sz="8" w:space="0"/>
              <w:right w:val="single" w:color="000000" w:sz="8" w:space="0"/>
            </w:tcBorders>
            <w:noWrap/>
            <w:vAlign w:val="center"/>
          </w:tcPr>
          <w:p w14:paraId="6824A1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2751" w:type="dxa"/>
            <w:tcBorders>
              <w:top w:val="nil"/>
              <w:left w:val="nil"/>
              <w:bottom w:val="single" w:color="000000" w:sz="8" w:space="0"/>
              <w:right w:val="single" w:color="000000" w:sz="8" w:space="0"/>
            </w:tcBorders>
            <w:noWrap w:val="0"/>
            <w:vAlign w:val="center"/>
          </w:tcPr>
          <w:p w14:paraId="42FECE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21D28F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2775EB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基础服务平台</w:t>
            </w:r>
          </w:p>
        </w:tc>
        <w:tc>
          <w:tcPr>
            <w:tcW w:w="3895" w:type="dxa"/>
            <w:tcBorders>
              <w:top w:val="nil"/>
              <w:left w:val="nil"/>
              <w:bottom w:val="single" w:color="000000" w:sz="8" w:space="0"/>
              <w:right w:val="single" w:color="000000" w:sz="8" w:space="0"/>
            </w:tcBorders>
            <w:noWrap w:val="0"/>
            <w:vAlign w:val="center"/>
          </w:tcPr>
          <w:p w14:paraId="568ED8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周到办XX分厅APP个人中心</w:t>
            </w:r>
          </w:p>
        </w:tc>
        <w:tc>
          <w:tcPr>
            <w:tcW w:w="11490" w:type="dxa"/>
            <w:tcBorders>
              <w:top w:val="nil"/>
              <w:left w:val="nil"/>
              <w:bottom w:val="single" w:color="000000" w:sz="8" w:space="0"/>
              <w:right w:val="single" w:color="000000" w:sz="8" w:space="0"/>
            </w:tcBorders>
            <w:noWrap w:val="0"/>
            <w:vAlign w:val="center"/>
          </w:tcPr>
          <w:p w14:paraId="114B402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个人中心主要是对个人账号的管理，包括实名认证、修改资料、修改账户信息等功能。其中实名认证、登陆、注册、消息反馈和我的收藏在微信公众号中没有展示，只在信息门户和手机应用中有展示。</w:t>
            </w:r>
          </w:p>
        </w:tc>
        <w:tc>
          <w:tcPr>
            <w:tcW w:w="0" w:type="auto"/>
            <w:tcBorders>
              <w:top w:val="nil"/>
              <w:left w:val="nil"/>
              <w:bottom w:val="single" w:color="000000" w:sz="8" w:space="0"/>
              <w:right w:val="single" w:color="000000" w:sz="8" w:space="0"/>
            </w:tcBorders>
            <w:noWrap/>
            <w:vAlign w:val="center"/>
          </w:tcPr>
          <w:p w14:paraId="57BACB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6B6799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0" w:type="auto"/>
            <w:tcBorders>
              <w:top w:val="nil"/>
              <w:left w:val="nil"/>
              <w:bottom w:val="single" w:color="000000" w:sz="8" w:space="0"/>
              <w:right w:val="single" w:color="000000" w:sz="8" w:space="0"/>
            </w:tcBorders>
            <w:noWrap/>
            <w:vAlign w:val="center"/>
          </w:tcPr>
          <w:p w14:paraId="065F16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0C9B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45AE96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2751" w:type="dxa"/>
            <w:tcBorders>
              <w:top w:val="nil"/>
              <w:left w:val="nil"/>
              <w:bottom w:val="single" w:color="000000" w:sz="8" w:space="0"/>
              <w:right w:val="single" w:color="000000" w:sz="8" w:space="0"/>
            </w:tcBorders>
            <w:noWrap w:val="0"/>
            <w:vAlign w:val="center"/>
          </w:tcPr>
          <w:p w14:paraId="7E1428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5BC911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7D88F4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政务服务专区</w:t>
            </w:r>
          </w:p>
        </w:tc>
        <w:tc>
          <w:tcPr>
            <w:tcW w:w="3895" w:type="dxa"/>
            <w:tcBorders>
              <w:top w:val="nil"/>
              <w:left w:val="nil"/>
              <w:bottom w:val="single" w:color="000000" w:sz="8" w:space="0"/>
              <w:right w:val="single" w:color="000000" w:sz="8" w:space="0"/>
            </w:tcBorders>
            <w:noWrap w:val="0"/>
            <w:vAlign w:val="center"/>
          </w:tcPr>
          <w:p w14:paraId="24849C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企业办事专区</w:t>
            </w:r>
          </w:p>
        </w:tc>
        <w:tc>
          <w:tcPr>
            <w:tcW w:w="11490" w:type="dxa"/>
            <w:tcBorders>
              <w:top w:val="nil"/>
              <w:left w:val="nil"/>
              <w:bottom w:val="single" w:color="000000" w:sz="8" w:space="0"/>
              <w:right w:val="single" w:color="000000" w:sz="8" w:space="0"/>
            </w:tcBorders>
            <w:noWrap w:val="0"/>
            <w:vAlign w:val="center"/>
          </w:tcPr>
          <w:p w14:paraId="2DBB216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通过企业设立变更、准营准办、资质认证、年检年审、项目审批、商务贸易等功能实现企业办事专区服务</w:t>
            </w:r>
          </w:p>
        </w:tc>
        <w:tc>
          <w:tcPr>
            <w:tcW w:w="0" w:type="auto"/>
            <w:tcBorders>
              <w:top w:val="nil"/>
              <w:left w:val="nil"/>
              <w:bottom w:val="single" w:color="000000" w:sz="8" w:space="0"/>
              <w:right w:val="single" w:color="000000" w:sz="8" w:space="0"/>
            </w:tcBorders>
            <w:noWrap/>
            <w:vAlign w:val="center"/>
          </w:tcPr>
          <w:p w14:paraId="6A20F5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63570F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0E8BEE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7C93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8" w:hRule="atLeast"/>
        </w:trPr>
        <w:tc>
          <w:tcPr>
            <w:tcW w:w="0" w:type="auto"/>
            <w:tcBorders>
              <w:top w:val="nil"/>
              <w:left w:val="single" w:color="000000" w:sz="8" w:space="0"/>
              <w:bottom w:val="single" w:color="000000" w:sz="8" w:space="0"/>
              <w:right w:val="single" w:color="000000" w:sz="8" w:space="0"/>
            </w:tcBorders>
            <w:noWrap/>
            <w:vAlign w:val="center"/>
          </w:tcPr>
          <w:p w14:paraId="34662C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2751" w:type="dxa"/>
            <w:tcBorders>
              <w:top w:val="nil"/>
              <w:left w:val="nil"/>
              <w:bottom w:val="single" w:color="000000" w:sz="8" w:space="0"/>
              <w:right w:val="single" w:color="000000" w:sz="8" w:space="0"/>
            </w:tcBorders>
            <w:noWrap w:val="0"/>
            <w:vAlign w:val="center"/>
          </w:tcPr>
          <w:p w14:paraId="1ADF00A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02C1CF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453C2C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政务服务专区</w:t>
            </w:r>
          </w:p>
        </w:tc>
        <w:tc>
          <w:tcPr>
            <w:tcW w:w="3895" w:type="dxa"/>
            <w:tcBorders>
              <w:top w:val="nil"/>
              <w:left w:val="nil"/>
              <w:bottom w:val="single" w:color="000000" w:sz="8" w:space="0"/>
              <w:right w:val="single" w:color="000000" w:sz="8" w:space="0"/>
            </w:tcBorders>
            <w:noWrap w:val="0"/>
            <w:vAlign w:val="center"/>
          </w:tcPr>
          <w:p w14:paraId="50F5E8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部门办事专区</w:t>
            </w:r>
          </w:p>
        </w:tc>
        <w:tc>
          <w:tcPr>
            <w:tcW w:w="11490" w:type="dxa"/>
            <w:tcBorders>
              <w:top w:val="nil"/>
              <w:left w:val="nil"/>
              <w:bottom w:val="single" w:color="000000" w:sz="8" w:space="0"/>
              <w:right w:val="single" w:color="000000" w:sz="8" w:space="0"/>
            </w:tcBorders>
            <w:noWrap w:val="0"/>
            <w:vAlign w:val="center"/>
          </w:tcPr>
          <w:p w14:paraId="3650925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为方便部门办事提高工作效率，该专区服务包括：安全生产合格证补办、高新技术企业认定审核推荐、法律援助补贴发放、机动车发动机变更登记、申请道路旅客运输驾驶员资格证等服务。涉及多个部门服务类型。</w:t>
            </w:r>
          </w:p>
        </w:tc>
        <w:tc>
          <w:tcPr>
            <w:tcW w:w="0" w:type="auto"/>
            <w:tcBorders>
              <w:top w:val="nil"/>
              <w:left w:val="nil"/>
              <w:bottom w:val="single" w:color="000000" w:sz="8" w:space="0"/>
              <w:right w:val="single" w:color="000000" w:sz="8" w:space="0"/>
            </w:tcBorders>
            <w:noWrap/>
            <w:vAlign w:val="center"/>
          </w:tcPr>
          <w:p w14:paraId="4573BA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144B8C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50DE48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BF99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8" w:hRule="atLeast"/>
        </w:trPr>
        <w:tc>
          <w:tcPr>
            <w:tcW w:w="0" w:type="auto"/>
            <w:tcBorders>
              <w:top w:val="nil"/>
              <w:left w:val="single" w:color="000000" w:sz="8" w:space="0"/>
              <w:bottom w:val="single" w:color="000000" w:sz="8" w:space="0"/>
              <w:right w:val="single" w:color="000000" w:sz="8" w:space="0"/>
            </w:tcBorders>
            <w:noWrap/>
            <w:vAlign w:val="center"/>
          </w:tcPr>
          <w:p w14:paraId="70980C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2751" w:type="dxa"/>
            <w:tcBorders>
              <w:top w:val="nil"/>
              <w:left w:val="nil"/>
              <w:bottom w:val="single" w:color="000000" w:sz="8" w:space="0"/>
              <w:right w:val="single" w:color="000000" w:sz="8" w:space="0"/>
            </w:tcBorders>
            <w:noWrap w:val="0"/>
            <w:vAlign w:val="center"/>
          </w:tcPr>
          <w:p w14:paraId="7C1014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37526A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05F377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政务服务专区</w:t>
            </w:r>
          </w:p>
        </w:tc>
        <w:tc>
          <w:tcPr>
            <w:tcW w:w="3895" w:type="dxa"/>
            <w:tcBorders>
              <w:top w:val="nil"/>
              <w:left w:val="nil"/>
              <w:bottom w:val="single" w:color="000000" w:sz="8" w:space="0"/>
              <w:right w:val="single" w:color="000000" w:sz="8" w:space="0"/>
            </w:tcBorders>
            <w:noWrap w:val="0"/>
            <w:vAlign w:val="center"/>
          </w:tcPr>
          <w:p w14:paraId="495881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老年人专区</w:t>
            </w:r>
          </w:p>
        </w:tc>
        <w:tc>
          <w:tcPr>
            <w:tcW w:w="11490" w:type="dxa"/>
            <w:tcBorders>
              <w:top w:val="nil"/>
              <w:left w:val="nil"/>
              <w:bottom w:val="single" w:color="000000" w:sz="8" w:space="0"/>
              <w:right w:val="single" w:color="000000" w:sz="8" w:space="0"/>
            </w:tcBorders>
            <w:noWrap w:val="0"/>
            <w:vAlign w:val="center"/>
          </w:tcPr>
          <w:p w14:paraId="25B22E6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通过调研发现一些老年人真正高频使用的事项。例如养老金领取查询、养老机构信息服务、养老保险服务等。分厅建设通过与省政务平台对接，目前接入以下功能：养老金领取查询。</w:t>
            </w:r>
          </w:p>
        </w:tc>
        <w:tc>
          <w:tcPr>
            <w:tcW w:w="0" w:type="auto"/>
            <w:tcBorders>
              <w:top w:val="nil"/>
              <w:left w:val="nil"/>
              <w:bottom w:val="single" w:color="000000" w:sz="8" w:space="0"/>
              <w:right w:val="single" w:color="000000" w:sz="8" w:space="0"/>
            </w:tcBorders>
            <w:noWrap/>
            <w:vAlign w:val="center"/>
          </w:tcPr>
          <w:p w14:paraId="03764F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423C6D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0" w:type="auto"/>
            <w:tcBorders>
              <w:top w:val="nil"/>
              <w:left w:val="nil"/>
              <w:bottom w:val="single" w:color="000000" w:sz="8" w:space="0"/>
              <w:right w:val="single" w:color="000000" w:sz="8" w:space="0"/>
            </w:tcBorders>
            <w:noWrap/>
            <w:vAlign w:val="center"/>
          </w:tcPr>
          <w:p w14:paraId="78A9E37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8F7F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8" w:hRule="atLeast"/>
        </w:trPr>
        <w:tc>
          <w:tcPr>
            <w:tcW w:w="0" w:type="auto"/>
            <w:tcBorders>
              <w:top w:val="nil"/>
              <w:left w:val="single" w:color="000000" w:sz="8" w:space="0"/>
              <w:bottom w:val="single" w:color="000000" w:sz="8" w:space="0"/>
              <w:right w:val="single" w:color="000000" w:sz="8" w:space="0"/>
            </w:tcBorders>
            <w:noWrap/>
            <w:vAlign w:val="center"/>
          </w:tcPr>
          <w:p w14:paraId="374856C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2751" w:type="dxa"/>
            <w:tcBorders>
              <w:top w:val="nil"/>
              <w:left w:val="nil"/>
              <w:bottom w:val="single" w:color="000000" w:sz="8" w:space="0"/>
              <w:right w:val="single" w:color="000000" w:sz="8" w:space="0"/>
            </w:tcBorders>
            <w:noWrap w:val="0"/>
            <w:vAlign w:val="center"/>
          </w:tcPr>
          <w:p w14:paraId="424E27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2B0F60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4685A8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政务服务专区</w:t>
            </w:r>
          </w:p>
        </w:tc>
        <w:tc>
          <w:tcPr>
            <w:tcW w:w="3895" w:type="dxa"/>
            <w:tcBorders>
              <w:top w:val="nil"/>
              <w:left w:val="nil"/>
              <w:bottom w:val="single" w:color="000000" w:sz="8" w:space="0"/>
              <w:right w:val="single" w:color="000000" w:sz="8" w:space="0"/>
            </w:tcBorders>
            <w:noWrap w:val="0"/>
            <w:vAlign w:val="center"/>
          </w:tcPr>
          <w:p w14:paraId="320814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企业开办专区</w:t>
            </w:r>
          </w:p>
        </w:tc>
        <w:tc>
          <w:tcPr>
            <w:tcW w:w="11490" w:type="dxa"/>
            <w:tcBorders>
              <w:top w:val="nil"/>
              <w:left w:val="nil"/>
              <w:bottom w:val="single" w:color="000000" w:sz="8" w:space="0"/>
              <w:right w:val="single" w:color="000000" w:sz="8" w:space="0"/>
            </w:tcBorders>
            <w:noWrap w:val="0"/>
            <w:vAlign w:val="center"/>
          </w:tcPr>
          <w:p w14:paraId="2211E33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展示办理事项的办事说明，包含事项的基本信息、申请条件、设定依据、申请材料、收费信息、办事流程、审批结果、法定办结日期、承诺办结日期、办理形式、纸质材料收取方式、办理地点、办公时间等。</w:t>
            </w:r>
          </w:p>
        </w:tc>
        <w:tc>
          <w:tcPr>
            <w:tcW w:w="0" w:type="auto"/>
            <w:tcBorders>
              <w:top w:val="nil"/>
              <w:left w:val="nil"/>
              <w:bottom w:val="single" w:color="000000" w:sz="8" w:space="0"/>
              <w:right w:val="single" w:color="000000" w:sz="8" w:space="0"/>
            </w:tcBorders>
            <w:noWrap/>
            <w:vAlign w:val="center"/>
          </w:tcPr>
          <w:p w14:paraId="209F72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1EAF2D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0" w:type="auto"/>
            <w:tcBorders>
              <w:top w:val="nil"/>
              <w:left w:val="nil"/>
              <w:bottom w:val="single" w:color="000000" w:sz="8" w:space="0"/>
              <w:right w:val="single" w:color="000000" w:sz="8" w:space="0"/>
            </w:tcBorders>
            <w:noWrap/>
            <w:vAlign w:val="center"/>
          </w:tcPr>
          <w:p w14:paraId="5EFD43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1792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8" w:hRule="atLeast"/>
        </w:trPr>
        <w:tc>
          <w:tcPr>
            <w:tcW w:w="0" w:type="auto"/>
            <w:tcBorders>
              <w:top w:val="nil"/>
              <w:left w:val="single" w:color="000000" w:sz="8" w:space="0"/>
              <w:bottom w:val="single" w:color="000000" w:sz="8" w:space="0"/>
              <w:right w:val="single" w:color="000000" w:sz="8" w:space="0"/>
            </w:tcBorders>
            <w:noWrap/>
            <w:vAlign w:val="center"/>
          </w:tcPr>
          <w:p w14:paraId="31274F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2751" w:type="dxa"/>
            <w:tcBorders>
              <w:top w:val="nil"/>
              <w:left w:val="nil"/>
              <w:bottom w:val="single" w:color="000000" w:sz="8" w:space="0"/>
              <w:right w:val="single" w:color="000000" w:sz="8" w:space="0"/>
            </w:tcBorders>
            <w:noWrap w:val="0"/>
            <w:vAlign w:val="center"/>
          </w:tcPr>
          <w:p w14:paraId="5903EF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2C74568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34766E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政务服务专区</w:t>
            </w:r>
          </w:p>
        </w:tc>
        <w:tc>
          <w:tcPr>
            <w:tcW w:w="3895" w:type="dxa"/>
            <w:tcBorders>
              <w:top w:val="nil"/>
              <w:left w:val="nil"/>
              <w:bottom w:val="single" w:color="000000" w:sz="8" w:space="0"/>
              <w:right w:val="single" w:color="000000" w:sz="8" w:space="0"/>
            </w:tcBorders>
            <w:noWrap w:val="0"/>
            <w:vAlign w:val="center"/>
          </w:tcPr>
          <w:p w14:paraId="1AC8DF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办事评价专区</w:t>
            </w:r>
          </w:p>
        </w:tc>
        <w:tc>
          <w:tcPr>
            <w:tcW w:w="11490" w:type="dxa"/>
            <w:tcBorders>
              <w:top w:val="nil"/>
              <w:left w:val="nil"/>
              <w:bottom w:val="single" w:color="000000" w:sz="8" w:space="0"/>
              <w:right w:val="single" w:color="000000" w:sz="8" w:space="0"/>
            </w:tcBorders>
            <w:noWrap w:val="0"/>
            <w:vAlign w:val="center"/>
          </w:tcPr>
          <w:p w14:paraId="1A3A95C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办事评价专区改进政务服务“好差评”工作，不仅实现服务事项、评价对象、服务渠道全覆盖，更加方便企业群众自主评价，收集企业群众的诉求和期盼，解决政务服务的堵点难点问题。</w:t>
            </w:r>
          </w:p>
        </w:tc>
        <w:tc>
          <w:tcPr>
            <w:tcW w:w="0" w:type="auto"/>
            <w:tcBorders>
              <w:top w:val="nil"/>
              <w:left w:val="nil"/>
              <w:bottom w:val="single" w:color="000000" w:sz="8" w:space="0"/>
              <w:right w:val="single" w:color="000000" w:sz="8" w:space="0"/>
            </w:tcBorders>
            <w:noWrap/>
            <w:vAlign w:val="center"/>
          </w:tcPr>
          <w:p w14:paraId="2F40ED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38A065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0" w:type="auto"/>
            <w:tcBorders>
              <w:top w:val="nil"/>
              <w:left w:val="nil"/>
              <w:bottom w:val="single" w:color="000000" w:sz="8" w:space="0"/>
              <w:right w:val="single" w:color="000000" w:sz="8" w:space="0"/>
            </w:tcBorders>
            <w:noWrap/>
            <w:vAlign w:val="center"/>
          </w:tcPr>
          <w:p w14:paraId="2B0595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1AE8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1377F8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2751" w:type="dxa"/>
            <w:tcBorders>
              <w:top w:val="nil"/>
              <w:left w:val="nil"/>
              <w:bottom w:val="single" w:color="000000" w:sz="8" w:space="0"/>
              <w:right w:val="single" w:color="000000" w:sz="8" w:space="0"/>
            </w:tcBorders>
            <w:noWrap w:val="0"/>
            <w:vAlign w:val="center"/>
          </w:tcPr>
          <w:p w14:paraId="63B701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249F80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309932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14B1BA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公积金专区</w:t>
            </w:r>
          </w:p>
        </w:tc>
        <w:tc>
          <w:tcPr>
            <w:tcW w:w="11490" w:type="dxa"/>
            <w:tcBorders>
              <w:top w:val="nil"/>
              <w:left w:val="nil"/>
              <w:bottom w:val="single" w:color="000000" w:sz="8" w:space="0"/>
              <w:right w:val="single" w:color="000000" w:sz="8" w:space="0"/>
            </w:tcBorders>
            <w:noWrap w:val="0"/>
            <w:vAlign w:val="center"/>
          </w:tcPr>
          <w:p w14:paraId="679BAD6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公积金事项是百姓需求量大且高频的事项，实现公积金信息掌上查询及提取秒到账等功能是项城市建设政务的目标也是极大便民的服务。</w:t>
            </w:r>
          </w:p>
        </w:tc>
        <w:tc>
          <w:tcPr>
            <w:tcW w:w="0" w:type="auto"/>
            <w:tcBorders>
              <w:top w:val="nil"/>
              <w:left w:val="nil"/>
              <w:bottom w:val="single" w:color="000000" w:sz="8" w:space="0"/>
              <w:right w:val="single" w:color="000000" w:sz="8" w:space="0"/>
            </w:tcBorders>
            <w:noWrap/>
            <w:vAlign w:val="center"/>
          </w:tcPr>
          <w:p w14:paraId="7C4057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4ADE19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5675EB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4038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60676C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2751" w:type="dxa"/>
            <w:tcBorders>
              <w:top w:val="nil"/>
              <w:left w:val="nil"/>
              <w:bottom w:val="single" w:color="000000" w:sz="8" w:space="0"/>
              <w:right w:val="single" w:color="000000" w:sz="8" w:space="0"/>
            </w:tcBorders>
            <w:noWrap w:val="0"/>
            <w:vAlign w:val="center"/>
          </w:tcPr>
          <w:p w14:paraId="69533B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56AE4A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09EB82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14A006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社保专区</w:t>
            </w:r>
          </w:p>
        </w:tc>
        <w:tc>
          <w:tcPr>
            <w:tcW w:w="11490" w:type="dxa"/>
            <w:tcBorders>
              <w:top w:val="nil"/>
              <w:left w:val="nil"/>
              <w:bottom w:val="single" w:color="000000" w:sz="8" w:space="0"/>
              <w:right w:val="single" w:color="000000" w:sz="8" w:space="0"/>
            </w:tcBorders>
            <w:noWrap w:val="0"/>
            <w:vAlign w:val="center"/>
          </w:tcPr>
          <w:p w14:paraId="6C26A5D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通过个人基本信息、人员参保信息、养老社保账户信息、养老保险待遇查询、退休养老金信息查询、退休人员调整明细、退休人员退补信息查询等功能实现社保专区服务</w:t>
            </w:r>
          </w:p>
        </w:tc>
        <w:tc>
          <w:tcPr>
            <w:tcW w:w="0" w:type="auto"/>
            <w:tcBorders>
              <w:top w:val="nil"/>
              <w:left w:val="nil"/>
              <w:bottom w:val="single" w:color="000000" w:sz="8" w:space="0"/>
              <w:right w:val="single" w:color="000000" w:sz="8" w:space="0"/>
            </w:tcBorders>
            <w:noWrap/>
            <w:vAlign w:val="center"/>
          </w:tcPr>
          <w:p w14:paraId="50F0D3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025C2E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731F64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0FC1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6375EF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2751" w:type="dxa"/>
            <w:tcBorders>
              <w:top w:val="nil"/>
              <w:left w:val="nil"/>
              <w:bottom w:val="single" w:color="000000" w:sz="8" w:space="0"/>
              <w:right w:val="single" w:color="000000" w:sz="8" w:space="0"/>
            </w:tcBorders>
            <w:noWrap w:val="0"/>
            <w:vAlign w:val="center"/>
          </w:tcPr>
          <w:p w14:paraId="5DEF5A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4C2F3D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049217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3A0EF8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个人办事专区</w:t>
            </w:r>
          </w:p>
        </w:tc>
        <w:tc>
          <w:tcPr>
            <w:tcW w:w="11490" w:type="dxa"/>
            <w:tcBorders>
              <w:top w:val="nil"/>
              <w:left w:val="nil"/>
              <w:bottom w:val="single" w:color="000000" w:sz="8" w:space="0"/>
              <w:right w:val="single" w:color="000000" w:sz="8" w:space="0"/>
            </w:tcBorders>
            <w:noWrap w:val="0"/>
            <w:vAlign w:val="center"/>
          </w:tcPr>
          <w:p w14:paraId="7E3FDB7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通过教育科研、个人设立变更、准营准办、规划建设、住房保障、证件办理、交通出行、出境入境、环保绿化、文体教育、公共事业等功能支撑个人办事专区服务</w:t>
            </w:r>
          </w:p>
        </w:tc>
        <w:tc>
          <w:tcPr>
            <w:tcW w:w="0" w:type="auto"/>
            <w:tcBorders>
              <w:top w:val="nil"/>
              <w:left w:val="nil"/>
              <w:bottom w:val="single" w:color="000000" w:sz="8" w:space="0"/>
              <w:right w:val="single" w:color="000000" w:sz="8" w:space="0"/>
            </w:tcBorders>
            <w:noWrap/>
            <w:vAlign w:val="center"/>
          </w:tcPr>
          <w:p w14:paraId="2104FB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06AB49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0" w:type="auto"/>
            <w:tcBorders>
              <w:top w:val="nil"/>
              <w:left w:val="nil"/>
              <w:bottom w:val="single" w:color="000000" w:sz="8" w:space="0"/>
              <w:right w:val="single" w:color="000000" w:sz="8" w:space="0"/>
            </w:tcBorders>
            <w:noWrap/>
            <w:vAlign w:val="center"/>
          </w:tcPr>
          <w:p w14:paraId="05B563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FD97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4" w:hRule="atLeast"/>
        </w:trPr>
        <w:tc>
          <w:tcPr>
            <w:tcW w:w="0" w:type="auto"/>
            <w:tcBorders>
              <w:top w:val="nil"/>
              <w:left w:val="single" w:color="000000" w:sz="8" w:space="0"/>
              <w:bottom w:val="single" w:color="000000" w:sz="8" w:space="0"/>
              <w:right w:val="single" w:color="000000" w:sz="8" w:space="0"/>
            </w:tcBorders>
            <w:noWrap/>
            <w:vAlign w:val="center"/>
          </w:tcPr>
          <w:p w14:paraId="06E5D1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2751" w:type="dxa"/>
            <w:tcBorders>
              <w:top w:val="nil"/>
              <w:left w:val="nil"/>
              <w:bottom w:val="single" w:color="000000" w:sz="8" w:space="0"/>
              <w:right w:val="single" w:color="000000" w:sz="8" w:space="0"/>
            </w:tcBorders>
            <w:noWrap w:val="0"/>
            <w:vAlign w:val="center"/>
          </w:tcPr>
          <w:p w14:paraId="02320A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7F00E9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2A57166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231866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不动产服务专区</w:t>
            </w:r>
          </w:p>
        </w:tc>
        <w:tc>
          <w:tcPr>
            <w:tcW w:w="11490" w:type="dxa"/>
            <w:tcBorders>
              <w:top w:val="nil"/>
              <w:left w:val="nil"/>
              <w:bottom w:val="single" w:color="000000" w:sz="8" w:space="0"/>
              <w:right w:val="single" w:color="000000" w:sz="8" w:space="0"/>
            </w:tcBorders>
            <w:noWrap w:val="0"/>
            <w:vAlign w:val="center"/>
          </w:tcPr>
          <w:p w14:paraId="723CD80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该项服务细化不动产服务提供不动产登记证明、进度、证书查询、房地产权预购商品房预告进度查询、房地产权个人建房首次登记进度查询、房地产权转移登记（按楼盘表转移）进度查询、房地产权一般转移进度查询、房地产权单位建房首次登记进度查询、房地产权一般变更进度查询、房地产权按房屋转移进度查询等服务。</w:t>
            </w:r>
          </w:p>
        </w:tc>
        <w:tc>
          <w:tcPr>
            <w:tcW w:w="0" w:type="auto"/>
            <w:tcBorders>
              <w:top w:val="nil"/>
              <w:left w:val="nil"/>
              <w:bottom w:val="single" w:color="000000" w:sz="8" w:space="0"/>
              <w:right w:val="single" w:color="000000" w:sz="8" w:space="0"/>
            </w:tcBorders>
            <w:noWrap/>
            <w:vAlign w:val="center"/>
          </w:tcPr>
          <w:p w14:paraId="05DAE3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128500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63CFB8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FC60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trPr>
        <w:tc>
          <w:tcPr>
            <w:tcW w:w="0" w:type="auto"/>
            <w:tcBorders>
              <w:top w:val="nil"/>
              <w:left w:val="single" w:color="000000" w:sz="8" w:space="0"/>
              <w:bottom w:val="single" w:color="000000" w:sz="8" w:space="0"/>
              <w:right w:val="single" w:color="000000" w:sz="8" w:space="0"/>
            </w:tcBorders>
            <w:noWrap/>
            <w:vAlign w:val="center"/>
          </w:tcPr>
          <w:p w14:paraId="63288C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2751" w:type="dxa"/>
            <w:tcBorders>
              <w:top w:val="nil"/>
              <w:left w:val="nil"/>
              <w:bottom w:val="single" w:color="000000" w:sz="8" w:space="0"/>
              <w:right w:val="single" w:color="000000" w:sz="8" w:space="0"/>
            </w:tcBorders>
            <w:noWrap w:val="0"/>
            <w:vAlign w:val="center"/>
          </w:tcPr>
          <w:p w14:paraId="2AD898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3E926D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31705E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3383CC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水务服务专区</w:t>
            </w:r>
          </w:p>
        </w:tc>
        <w:tc>
          <w:tcPr>
            <w:tcW w:w="11490" w:type="dxa"/>
            <w:tcBorders>
              <w:top w:val="nil"/>
              <w:left w:val="nil"/>
              <w:bottom w:val="single" w:color="000000" w:sz="8" w:space="0"/>
              <w:right w:val="single" w:color="000000" w:sz="8" w:space="0"/>
            </w:tcBorders>
            <w:noWrap w:val="0"/>
            <w:vAlign w:val="center"/>
          </w:tcPr>
          <w:p w14:paraId="423F483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通过单位水表相关服务、个人水表相关服务功能支撑水务服务专区业务</w:t>
            </w:r>
          </w:p>
        </w:tc>
        <w:tc>
          <w:tcPr>
            <w:tcW w:w="0" w:type="auto"/>
            <w:tcBorders>
              <w:top w:val="nil"/>
              <w:left w:val="nil"/>
              <w:bottom w:val="single" w:color="000000" w:sz="8" w:space="0"/>
              <w:right w:val="single" w:color="000000" w:sz="8" w:space="0"/>
            </w:tcBorders>
            <w:noWrap/>
            <w:vAlign w:val="center"/>
          </w:tcPr>
          <w:p w14:paraId="495193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5E2A9A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0138D9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9728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trPr>
        <w:tc>
          <w:tcPr>
            <w:tcW w:w="0" w:type="auto"/>
            <w:tcBorders>
              <w:top w:val="nil"/>
              <w:left w:val="single" w:color="000000" w:sz="8" w:space="0"/>
              <w:bottom w:val="single" w:color="000000" w:sz="8" w:space="0"/>
              <w:right w:val="single" w:color="000000" w:sz="8" w:space="0"/>
            </w:tcBorders>
            <w:noWrap/>
            <w:vAlign w:val="center"/>
          </w:tcPr>
          <w:p w14:paraId="6451B9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2751" w:type="dxa"/>
            <w:tcBorders>
              <w:top w:val="nil"/>
              <w:left w:val="nil"/>
              <w:bottom w:val="single" w:color="000000" w:sz="8" w:space="0"/>
              <w:right w:val="single" w:color="000000" w:sz="8" w:space="0"/>
            </w:tcBorders>
            <w:noWrap w:val="0"/>
            <w:vAlign w:val="center"/>
          </w:tcPr>
          <w:p w14:paraId="0158C05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20CB04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4E8C4C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4115F9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燃气服务专区</w:t>
            </w:r>
          </w:p>
        </w:tc>
        <w:tc>
          <w:tcPr>
            <w:tcW w:w="11490" w:type="dxa"/>
            <w:tcBorders>
              <w:top w:val="nil"/>
              <w:left w:val="nil"/>
              <w:bottom w:val="single" w:color="000000" w:sz="8" w:space="0"/>
              <w:right w:val="single" w:color="000000" w:sz="8" w:space="0"/>
            </w:tcBorders>
            <w:noWrap w:val="0"/>
            <w:vAlign w:val="center"/>
          </w:tcPr>
          <w:p w14:paraId="46A2699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提供燃气用户信息查询、燃气用户历史缴费记录等服务。</w:t>
            </w:r>
          </w:p>
        </w:tc>
        <w:tc>
          <w:tcPr>
            <w:tcW w:w="0" w:type="auto"/>
            <w:tcBorders>
              <w:top w:val="nil"/>
              <w:left w:val="nil"/>
              <w:bottom w:val="single" w:color="000000" w:sz="8" w:space="0"/>
              <w:right w:val="single" w:color="000000" w:sz="8" w:space="0"/>
            </w:tcBorders>
            <w:noWrap/>
            <w:vAlign w:val="center"/>
          </w:tcPr>
          <w:p w14:paraId="4F9B315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70436E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77C7AF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4C46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48E941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2751" w:type="dxa"/>
            <w:tcBorders>
              <w:top w:val="nil"/>
              <w:left w:val="nil"/>
              <w:bottom w:val="single" w:color="000000" w:sz="8" w:space="0"/>
              <w:right w:val="single" w:color="000000" w:sz="8" w:space="0"/>
            </w:tcBorders>
            <w:noWrap w:val="0"/>
            <w:vAlign w:val="center"/>
          </w:tcPr>
          <w:p w14:paraId="68FD5F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1B33A8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030D0C8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6FD311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生活服务</w:t>
            </w:r>
          </w:p>
        </w:tc>
        <w:tc>
          <w:tcPr>
            <w:tcW w:w="11490" w:type="dxa"/>
            <w:tcBorders>
              <w:top w:val="nil"/>
              <w:left w:val="nil"/>
              <w:bottom w:val="single" w:color="000000" w:sz="8" w:space="0"/>
              <w:right w:val="single" w:color="000000" w:sz="8" w:space="0"/>
            </w:tcBorders>
            <w:noWrap w:val="0"/>
            <w:vAlign w:val="center"/>
          </w:tcPr>
          <w:p w14:paraId="2CBDDB5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通过《华侨回国定居证》换发、补发申请、归侨、华侨子女、归侨子女考试身份申请审核功能支撑生活服务专区</w:t>
            </w:r>
          </w:p>
        </w:tc>
        <w:tc>
          <w:tcPr>
            <w:tcW w:w="0" w:type="auto"/>
            <w:tcBorders>
              <w:top w:val="nil"/>
              <w:left w:val="nil"/>
              <w:bottom w:val="single" w:color="000000" w:sz="8" w:space="0"/>
              <w:right w:val="single" w:color="000000" w:sz="8" w:space="0"/>
            </w:tcBorders>
            <w:noWrap/>
            <w:vAlign w:val="center"/>
          </w:tcPr>
          <w:p w14:paraId="0C2292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198F8F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004F00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8A47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5D7F8F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2751" w:type="dxa"/>
            <w:tcBorders>
              <w:top w:val="nil"/>
              <w:left w:val="nil"/>
              <w:bottom w:val="single" w:color="000000" w:sz="8" w:space="0"/>
              <w:right w:val="single" w:color="000000" w:sz="8" w:space="0"/>
            </w:tcBorders>
            <w:noWrap w:val="0"/>
            <w:vAlign w:val="center"/>
          </w:tcPr>
          <w:p w14:paraId="2AE5CA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29F2FB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4FCBB4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203CA1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随手拍专区</w:t>
            </w:r>
          </w:p>
        </w:tc>
        <w:tc>
          <w:tcPr>
            <w:tcW w:w="11490" w:type="dxa"/>
            <w:tcBorders>
              <w:top w:val="nil"/>
              <w:left w:val="nil"/>
              <w:bottom w:val="single" w:color="000000" w:sz="8" w:space="0"/>
              <w:right w:val="single" w:color="000000" w:sz="8" w:space="0"/>
            </w:tcBorders>
            <w:noWrap w:val="0"/>
            <w:vAlign w:val="center"/>
          </w:tcPr>
          <w:p w14:paraId="5922D0F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用户通过分厅建设的随手拍功能，可以随时随地提交城市管理等方面的问题、建议投诉；查询政府部门的处理结果，并提交对处理结果进行综合评价。</w:t>
            </w:r>
          </w:p>
        </w:tc>
        <w:tc>
          <w:tcPr>
            <w:tcW w:w="0" w:type="auto"/>
            <w:tcBorders>
              <w:top w:val="nil"/>
              <w:left w:val="nil"/>
              <w:bottom w:val="single" w:color="000000" w:sz="8" w:space="0"/>
              <w:right w:val="single" w:color="000000" w:sz="8" w:space="0"/>
            </w:tcBorders>
            <w:noWrap/>
            <w:vAlign w:val="center"/>
          </w:tcPr>
          <w:p w14:paraId="5A97A58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004479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550AC0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4E06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7E3481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2751" w:type="dxa"/>
            <w:tcBorders>
              <w:top w:val="nil"/>
              <w:left w:val="nil"/>
              <w:bottom w:val="single" w:color="000000" w:sz="8" w:space="0"/>
              <w:right w:val="single" w:color="000000" w:sz="8" w:space="0"/>
            </w:tcBorders>
            <w:noWrap w:val="0"/>
            <w:vAlign w:val="center"/>
          </w:tcPr>
          <w:p w14:paraId="1A6482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01188B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4DB28C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246013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信用查询</w:t>
            </w:r>
          </w:p>
        </w:tc>
        <w:tc>
          <w:tcPr>
            <w:tcW w:w="11490" w:type="dxa"/>
            <w:tcBorders>
              <w:top w:val="nil"/>
              <w:left w:val="nil"/>
              <w:bottom w:val="single" w:color="000000" w:sz="8" w:space="0"/>
              <w:right w:val="single" w:color="000000" w:sz="8" w:space="0"/>
            </w:tcBorders>
            <w:noWrap w:val="0"/>
            <w:vAlign w:val="center"/>
          </w:tcPr>
          <w:p w14:paraId="0B442F5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可输入企业名称或统一信用代码、组织机构代码、工商登记码、税务登记号查询该企业相关信息状态。并提供企业信用报告下载、企业基本信息查询等服务。</w:t>
            </w:r>
          </w:p>
        </w:tc>
        <w:tc>
          <w:tcPr>
            <w:tcW w:w="0" w:type="auto"/>
            <w:tcBorders>
              <w:top w:val="nil"/>
              <w:left w:val="nil"/>
              <w:bottom w:val="single" w:color="000000" w:sz="8" w:space="0"/>
              <w:right w:val="single" w:color="000000" w:sz="8" w:space="0"/>
            </w:tcBorders>
            <w:noWrap/>
            <w:vAlign w:val="center"/>
          </w:tcPr>
          <w:p w14:paraId="7640B4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372A036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0" w:type="auto"/>
            <w:tcBorders>
              <w:top w:val="nil"/>
              <w:left w:val="nil"/>
              <w:bottom w:val="single" w:color="000000" w:sz="8" w:space="0"/>
              <w:right w:val="single" w:color="000000" w:sz="8" w:space="0"/>
            </w:tcBorders>
            <w:noWrap/>
            <w:vAlign w:val="center"/>
          </w:tcPr>
          <w:p w14:paraId="76A698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D2D3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trPr>
        <w:tc>
          <w:tcPr>
            <w:tcW w:w="0" w:type="auto"/>
            <w:tcBorders>
              <w:top w:val="nil"/>
              <w:left w:val="single" w:color="000000" w:sz="8" w:space="0"/>
              <w:bottom w:val="single" w:color="000000" w:sz="8" w:space="0"/>
              <w:right w:val="single" w:color="000000" w:sz="8" w:space="0"/>
            </w:tcBorders>
            <w:noWrap/>
            <w:vAlign w:val="center"/>
          </w:tcPr>
          <w:p w14:paraId="20D14A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23</w:t>
            </w:r>
          </w:p>
        </w:tc>
        <w:tc>
          <w:tcPr>
            <w:tcW w:w="2751" w:type="dxa"/>
            <w:tcBorders>
              <w:top w:val="nil"/>
              <w:left w:val="nil"/>
              <w:bottom w:val="single" w:color="000000" w:sz="8" w:space="0"/>
              <w:right w:val="single" w:color="000000" w:sz="8" w:space="0"/>
            </w:tcBorders>
            <w:noWrap w:val="0"/>
            <w:vAlign w:val="center"/>
          </w:tcPr>
          <w:p w14:paraId="20AB65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464B10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35745C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285D09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政策直通车专区</w:t>
            </w:r>
          </w:p>
        </w:tc>
        <w:tc>
          <w:tcPr>
            <w:tcW w:w="11490" w:type="dxa"/>
            <w:tcBorders>
              <w:top w:val="nil"/>
              <w:left w:val="nil"/>
              <w:bottom w:val="single" w:color="000000" w:sz="8" w:space="0"/>
              <w:right w:val="single" w:color="000000" w:sz="8" w:space="0"/>
            </w:tcBorders>
            <w:noWrap w:val="0"/>
            <w:vAlign w:val="center"/>
          </w:tcPr>
          <w:p w14:paraId="7DB4711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推送国家、省、市级相关最新政策以及政策解读。</w:t>
            </w:r>
          </w:p>
        </w:tc>
        <w:tc>
          <w:tcPr>
            <w:tcW w:w="0" w:type="auto"/>
            <w:tcBorders>
              <w:top w:val="nil"/>
              <w:left w:val="nil"/>
              <w:bottom w:val="single" w:color="000000" w:sz="8" w:space="0"/>
              <w:right w:val="single" w:color="000000" w:sz="8" w:space="0"/>
            </w:tcBorders>
            <w:noWrap/>
            <w:vAlign w:val="center"/>
          </w:tcPr>
          <w:p w14:paraId="3FA4EA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72EC29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360C66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9B6E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66E3E7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c>
          <w:tcPr>
            <w:tcW w:w="2751" w:type="dxa"/>
            <w:tcBorders>
              <w:top w:val="nil"/>
              <w:left w:val="nil"/>
              <w:bottom w:val="single" w:color="000000" w:sz="8" w:space="0"/>
              <w:right w:val="single" w:color="000000" w:sz="8" w:space="0"/>
            </w:tcBorders>
            <w:noWrap w:val="0"/>
            <w:vAlign w:val="center"/>
          </w:tcPr>
          <w:p w14:paraId="753BC0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4845CA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76965D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28CBC8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市长热线</w:t>
            </w:r>
          </w:p>
        </w:tc>
        <w:tc>
          <w:tcPr>
            <w:tcW w:w="11490" w:type="dxa"/>
            <w:tcBorders>
              <w:top w:val="nil"/>
              <w:left w:val="nil"/>
              <w:bottom w:val="single" w:color="000000" w:sz="8" w:space="0"/>
              <w:right w:val="single" w:color="000000" w:sz="8" w:space="0"/>
            </w:tcBorders>
            <w:noWrap w:val="0"/>
            <w:vAlign w:val="center"/>
          </w:tcPr>
          <w:p w14:paraId="1A23DDA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提供群众申诉咨询渠道，对行政管理、社会管理、公共服务方面的投诉以及意见和建议，推送至周口市市长热线平台，由各部门进行处理、反馈。</w:t>
            </w:r>
          </w:p>
        </w:tc>
        <w:tc>
          <w:tcPr>
            <w:tcW w:w="0" w:type="auto"/>
            <w:tcBorders>
              <w:top w:val="nil"/>
              <w:left w:val="nil"/>
              <w:bottom w:val="single" w:color="000000" w:sz="8" w:space="0"/>
              <w:right w:val="single" w:color="000000" w:sz="8" w:space="0"/>
            </w:tcBorders>
            <w:noWrap/>
            <w:vAlign w:val="center"/>
          </w:tcPr>
          <w:p w14:paraId="3CAF5B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651B09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0" w:type="auto"/>
            <w:tcBorders>
              <w:top w:val="nil"/>
              <w:left w:val="nil"/>
              <w:bottom w:val="single" w:color="000000" w:sz="8" w:space="0"/>
              <w:right w:val="single" w:color="000000" w:sz="8" w:space="0"/>
            </w:tcBorders>
            <w:noWrap/>
            <w:vAlign w:val="center"/>
          </w:tcPr>
          <w:p w14:paraId="2E0D7E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9C72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0" w:type="auto"/>
            <w:tcBorders>
              <w:top w:val="nil"/>
              <w:left w:val="single" w:color="000000" w:sz="8" w:space="0"/>
              <w:bottom w:val="single" w:color="000000" w:sz="8" w:space="0"/>
              <w:right w:val="single" w:color="000000" w:sz="8" w:space="0"/>
            </w:tcBorders>
            <w:noWrap/>
            <w:vAlign w:val="center"/>
          </w:tcPr>
          <w:p w14:paraId="7005B0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w:t>
            </w:r>
          </w:p>
        </w:tc>
        <w:tc>
          <w:tcPr>
            <w:tcW w:w="2751" w:type="dxa"/>
            <w:tcBorders>
              <w:top w:val="nil"/>
              <w:left w:val="nil"/>
              <w:bottom w:val="single" w:color="000000" w:sz="8" w:space="0"/>
              <w:right w:val="single" w:color="000000" w:sz="8" w:space="0"/>
            </w:tcBorders>
            <w:noWrap w:val="0"/>
            <w:vAlign w:val="center"/>
          </w:tcPr>
          <w:p w14:paraId="54DC03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周到办鹿邑县分厅</w:t>
            </w:r>
          </w:p>
        </w:tc>
        <w:tc>
          <w:tcPr>
            <w:tcW w:w="0" w:type="auto"/>
            <w:tcBorders>
              <w:top w:val="nil"/>
              <w:left w:val="nil"/>
              <w:bottom w:val="single" w:color="000000" w:sz="8" w:space="0"/>
              <w:right w:val="single" w:color="000000" w:sz="8" w:space="0"/>
            </w:tcBorders>
            <w:noWrap/>
            <w:vAlign w:val="center"/>
          </w:tcPr>
          <w:p w14:paraId="37570C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2180" w:type="dxa"/>
            <w:tcBorders>
              <w:top w:val="nil"/>
              <w:left w:val="nil"/>
              <w:bottom w:val="single" w:color="000000" w:sz="8" w:space="0"/>
              <w:right w:val="single" w:color="000000" w:sz="8" w:space="0"/>
            </w:tcBorders>
            <w:noWrap w:val="0"/>
            <w:vAlign w:val="center"/>
          </w:tcPr>
          <w:p w14:paraId="32F5AD3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主题服务专区</w:t>
            </w:r>
          </w:p>
        </w:tc>
        <w:tc>
          <w:tcPr>
            <w:tcW w:w="3895" w:type="dxa"/>
            <w:tcBorders>
              <w:top w:val="nil"/>
              <w:left w:val="nil"/>
              <w:bottom w:val="single" w:color="000000" w:sz="8" w:space="0"/>
              <w:right w:val="single" w:color="000000" w:sz="8" w:space="0"/>
            </w:tcBorders>
            <w:noWrap w:val="0"/>
            <w:vAlign w:val="center"/>
          </w:tcPr>
          <w:p w14:paraId="38A3D3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一件事专区</w:t>
            </w:r>
          </w:p>
        </w:tc>
        <w:tc>
          <w:tcPr>
            <w:tcW w:w="11490" w:type="dxa"/>
            <w:tcBorders>
              <w:top w:val="nil"/>
              <w:left w:val="nil"/>
              <w:bottom w:val="single" w:color="000000" w:sz="8" w:space="0"/>
              <w:right w:val="single" w:color="000000" w:sz="8" w:space="0"/>
            </w:tcBorders>
            <w:noWrap w:val="0"/>
            <w:vAlign w:val="center"/>
          </w:tcPr>
          <w:p w14:paraId="7F0C4E0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政务服务事项梳理及流程再造、政务服务前端业务应用、证照通平台、一件事主题套餐服务、一件事专题数据支撑服务、系统对接等。</w:t>
            </w:r>
          </w:p>
        </w:tc>
        <w:tc>
          <w:tcPr>
            <w:tcW w:w="0" w:type="auto"/>
            <w:tcBorders>
              <w:top w:val="nil"/>
              <w:left w:val="nil"/>
              <w:bottom w:val="single" w:color="000000" w:sz="8" w:space="0"/>
              <w:right w:val="single" w:color="000000" w:sz="8" w:space="0"/>
            </w:tcBorders>
            <w:noWrap/>
            <w:vAlign w:val="center"/>
          </w:tcPr>
          <w:p w14:paraId="52E538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65F47E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0" w:type="auto"/>
            <w:tcBorders>
              <w:top w:val="nil"/>
              <w:left w:val="nil"/>
              <w:bottom w:val="single" w:color="000000" w:sz="8" w:space="0"/>
              <w:right w:val="single" w:color="000000" w:sz="8" w:space="0"/>
            </w:tcBorders>
            <w:noWrap/>
            <w:vAlign w:val="center"/>
          </w:tcPr>
          <w:p w14:paraId="764623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89FB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trPr>
        <w:tc>
          <w:tcPr>
            <w:tcW w:w="0" w:type="auto"/>
            <w:tcBorders>
              <w:top w:val="nil"/>
              <w:left w:val="single" w:color="000000" w:sz="8" w:space="0"/>
              <w:bottom w:val="single" w:color="000000" w:sz="8" w:space="0"/>
              <w:right w:val="single" w:color="000000" w:sz="8" w:space="0"/>
            </w:tcBorders>
            <w:noWrap/>
            <w:vAlign w:val="center"/>
          </w:tcPr>
          <w:p w14:paraId="1097DA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26</w:t>
            </w:r>
          </w:p>
        </w:tc>
        <w:tc>
          <w:tcPr>
            <w:tcW w:w="0" w:type="auto"/>
            <w:gridSpan w:val="5"/>
            <w:tcBorders>
              <w:top w:val="nil"/>
              <w:left w:val="single" w:color="000000" w:sz="8" w:space="0"/>
              <w:bottom w:val="single" w:color="000000" w:sz="8" w:space="0"/>
              <w:right w:val="single" w:color="000000" w:sz="8" w:space="0"/>
            </w:tcBorders>
            <w:noWrap/>
            <w:vAlign w:val="center"/>
          </w:tcPr>
          <w:p w14:paraId="1E1B1B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ILF数量合计：</w:t>
            </w:r>
          </w:p>
        </w:tc>
        <w:tc>
          <w:tcPr>
            <w:tcW w:w="1219" w:type="dxa"/>
            <w:tcBorders>
              <w:top w:val="nil"/>
              <w:left w:val="nil"/>
              <w:bottom w:val="single" w:color="000000" w:sz="8" w:space="0"/>
              <w:right w:val="single" w:color="000000" w:sz="8" w:space="0"/>
            </w:tcBorders>
            <w:noWrap w:val="0"/>
            <w:vAlign w:val="center"/>
          </w:tcPr>
          <w:p w14:paraId="77BCC9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7F2D64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41 </w:t>
            </w:r>
          </w:p>
        </w:tc>
        <w:tc>
          <w:tcPr>
            <w:tcW w:w="0" w:type="auto"/>
            <w:tcBorders>
              <w:top w:val="nil"/>
              <w:left w:val="nil"/>
              <w:bottom w:val="single" w:color="000000" w:sz="8" w:space="0"/>
              <w:right w:val="single" w:color="000000" w:sz="8" w:space="0"/>
            </w:tcBorders>
            <w:noWrap/>
            <w:vAlign w:val="center"/>
          </w:tcPr>
          <w:p w14:paraId="5CFF3E58">
            <w:pPr>
              <w:jc w:val="center"/>
              <w:rPr>
                <w:rFonts w:hint="eastAsia" w:ascii="宋体" w:hAnsi="宋体" w:eastAsia="宋体" w:cs="宋体"/>
                <w:i w:val="0"/>
                <w:iCs w:val="0"/>
                <w:color w:val="auto"/>
                <w:sz w:val="24"/>
                <w:szCs w:val="24"/>
                <w:highlight w:val="none"/>
                <w:u w:val="none"/>
              </w:rPr>
            </w:pPr>
          </w:p>
        </w:tc>
      </w:tr>
      <w:tr w14:paraId="07F9E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trPr>
        <w:tc>
          <w:tcPr>
            <w:tcW w:w="0" w:type="auto"/>
            <w:tcBorders>
              <w:top w:val="nil"/>
              <w:left w:val="single" w:color="000000" w:sz="8" w:space="0"/>
              <w:bottom w:val="single" w:color="000000" w:sz="8" w:space="0"/>
              <w:right w:val="single" w:color="000000" w:sz="8" w:space="0"/>
            </w:tcBorders>
            <w:noWrap/>
            <w:vAlign w:val="center"/>
          </w:tcPr>
          <w:p w14:paraId="54F882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27</w:t>
            </w:r>
          </w:p>
        </w:tc>
        <w:tc>
          <w:tcPr>
            <w:tcW w:w="0" w:type="auto"/>
            <w:gridSpan w:val="5"/>
            <w:tcBorders>
              <w:top w:val="nil"/>
              <w:left w:val="single" w:color="000000" w:sz="8" w:space="0"/>
              <w:bottom w:val="single" w:color="000000" w:sz="8" w:space="0"/>
              <w:right w:val="single" w:color="000000" w:sz="8" w:space="0"/>
            </w:tcBorders>
            <w:noWrap/>
            <w:vAlign w:val="center"/>
          </w:tcPr>
          <w:p w14:paraId="293C02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EIF数量合计：</w:t>
            </w:r>
          </w:p>
        </w:tc>
        <w:tc>
          <w:tcPr>
            <w:tcW w:w="1219" w:type="dxa"/>
            <w:tcBorders>
              <w:top w:val="nil"/>
              <w:left w:val="nil"/>
              <w:bottom w:val="single" w:color="000000" w:sz="8" w:space="0"/>
              <w:right w:val="single" w:color="000000" w:sz="8" w:space="0"/>
            </w:tcBorders>
            <w:noWrap w:val="0"/>
            <w:vAlign w:val="center"/>
          </w:tcPr>
          <w:p w14:paraId="591B66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19D5376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0 </w:t>
            </w:r>
          </w:p>
        </w:tc>
        <w:tc>
          <w:tcPr>
            <w:tcW w:w="0" w:type="auto"/>
            <w:tcBorders>
              <w:top w:val="nil"/>
              <w:left w:val="nil"/>
              <w:bottom w:val="single" w:color="000000" w:sz="8" w:space="0"/>
              <w:right w:val="single" w:color="000000" w:sz="8" w:space="0"/>
            </w:tcBorders>
            <w:noWrap/>
            <w:vAlign w:val="center"/>
          </w:tcPr>
          <w:p w14:paraId="6D0AC96B">
            <w:pPr>
              <w:jc w:val="center"/>
              <w:rPr>
                <w:rFonts w:hint="eastAsia" w:ascii="宋体" w:hAnsi="宋体" w:eastAsia="宋体" w:cs="宋体"/>
                <w:i w:val="0"/>
                <w:iCs w:val="0"/>
                <w:color w:val="auto"/>
                <w:sz w:val="24"/>
                <w:szCs w:val="24"/>
                <w:highlight w:val="none"/>
                <w:u w:val="none"/>
              </w:rPr>
            </w:pPr>
          </w:p>
        </w:tc>
      </w:tr>
      <w:tr w14:paraId="12EF4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8" w:hRule="atLeast"/>
        </w:trPr>
        <w:tc>
          <w:tcPr>
            <w:tcW w:w="0" w:type="auto"/>
            <w:tcBorders>
              <w:top w:val="nil"/>
              <w:left w:val="single" w:color="000000" w:sz="8" w:space="0"/>
              <w:bottom w:val="single" w:color="000000" w:sz="8" w:space="0"/>
              <w:right w:val="single" w:color="000000" w:sz="8" w:space="0"/>
            </w:tcBorders>
            <w:noWrap/>
            <w:vAlign w:val="center"/>
          </w:tcPr>
          <w:p w14:paraId="30B50C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28</w:t>
            </w:r>
          </w:p>
        </w:tc>
        <w:tc>
          <w:tcPr>
            <w:tcW w:w="0" w:type="auto"/>
            <w:gridSpan w:val="5"/>
            <w:tcBorders>
              <w:top w:val="nil"/>
              <w:left w:val="single" w:color="000000" w:sz="8" w:space="0"/>
              <w:bottom w:val="single" w:color="000000" w:sz="8" w:space="0"/>
              <w:right w:val="single" w:color="000000" w:sz="8" w:space="0"/>
            </w:tcBorders>
            <w:noWrap/>
            <w:vAlign w:val="center"/>
          </w:tcPr>
          <w:p w14:paraId="78B2FA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功能点数合计：</w:t>
            </w:r>
          </w:p>
        </w:tc>
        <w:tc>
          <w:tcPr>
            <w:tcW w:w="1219" w:type="dxa"/>
            <w:tcBorders>
              <w:top w:val="nil"/>
              <w:left w:val="nil"/>
              <w:bottom w:val="single" w:color="000000" w:sz="8" w:space="0"/>
              <w:right w:val="single" w:color="000000" w:sz="8" w:space="0"/>
            </w:tcBorders>
            <w:noWrap w:val="0"/>
            <w:vAlign w:val="center"/>
          </w:tcPr>
          <w:p w14:paraId="4F8258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nil"/>
              <w:left w:val="nil"/>
              <w:bottom w:val="single" w:color="000000" w:sz="8" w:space="0"/>
              <w:right w:val="single" w:color="000000" w:sz="8" w:space="0"/>
            </w:tcBorders>
            <w:noWrap/>
            <w:vAlign w:val="center"/>
          </w:tcPr>
          <w:p w14:paraId="495CDF85">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1,435.00 </w:t>
            </w:r>
          </w:p>
        </w:tc>
        <w:tc>
          <w:tcPr>
            <w:tcW w:w="3986" w:type="dxa"/>
            <w:tcBorders>
              <w:top w:val="nil"/>
              <w:left w:val="nil"/>
              <w:bottom w:val="nil"/>
              <w:right w:val="single" w:color="000000" w:sz="8" w:space="0"/>
            </w:tcBorders>
            <w:noWrap w:val="0"/>
            <w:vAlign w:val="center"/>
          </w:tcPr>
          <w:p w14:paraId="4A2DB0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功能点数合计= 35×ILF数量合计（即 N） +15×EIF 数量合计（即M）</w:t>
            </w:r>
          </w:p>
        </w:tc>
      </w:tr>
      <w:tr w14:paraId="16A7F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2" w:hRule="atLeast"/>
        </w:trPr>
        <w:tc>
          <w:tcPr>
            <w:tcW w:w="0" w:type="auto"/>
            <w:tcBorders>
              <w:top w:val="nil"/>
              <w:left w:val="single" w:color="000000" w:sz="8" w:space="0"/>
              <w:bottom w:val="single" w:color="000000" w:sz="8" w:space="0"/>
              <w:right w:val="single" w:color="000000" w:sz="8" w:space="0"/>
            </w:tcBorders>
            <w:noWrap/>
            <w:vAlign w:val="center"/>
          </w:tcPr>
          <w:p w14:paraId="7B1D6B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29</w:t>
            </w:r>
          </w:p>
        </w:tc>
        <w:tc>
          <w:tcPr>
            <w:tcW w:w="0" w:type="auto"/>
            <w:gridSpan w:val="5"/>
            <w:tcBorders>
              <w:top w:val="nil"/>
              <w:left w:val="single" w:color="000000" w:sz="8" w:space="0"/>
              <w:bottom w:val="single" w:color="000000" w:sz="8" w:space="0"/>
              <w:right w:val="single" w:color="000000" w:sz="8" w:space="0"/>
            </w:tcBorders>
            <w:noWrap/>
            <w:vAlign w:val="center"/>
          </w:tcPr>
          <w:p w14:paraId="5D3F65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工作量：</w:t>
            </w:r>
          </w:p>
        </w:tc>
        <w:tc>
          <w:tcPr>
            <w:tcW w:w="0" w:type="auto"/>
            <w:tcBorders>
              <w:top w:val="nil"/>
              <w:left w:val="nil"/>
              <w:bottom w:val="single" w:color="000000" w:sz="8" w:space="0"/>
              <w:right w:val="single" w:color="000000" w:sz="8" w:space="0"/>
            </w:tcBorders>
            <w:noWrap/>
            <w:vAlign w:val="center"/>
          </w:tcPr>
          <w:p w14:paraId="46D4B0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人月</w:t>
            </w:r>
          </w:p>
        </w:tc>
        <w:tc>
          <w:tcPr>
            <w:tcW w:w="0" w:type="auto"/>
            <w:tcBorders>
              <w:top w:val="nil"/>
              <w:left w:val="nil"/>
              <w:bottom w:val="single" w:color="000000" w:sz="8" w:space="0"/>
              <w:right w:val="nil"/>
            </w:tcBorders>
            <w:noWrap/>
            <w:vAlign w:val="center"/>
          </w:tcPr>
          <w:p w14:paraId="2975FAD5">
            <w:pPr>
              <w:rPr>
                <w:rFonts w:hint="eastAsia" w:ascii="宋体" w:hAnsi="宋体" w:eastAsia="宋体" w:cs="宋体"/>
                <w:i w:val="0"/>
                <w:iCs w:val="0"/>
                <w:color w:val="auto"/>
                <w:sz w:val="24"/>
                <w:szCs w:val="24"/>
                <w:highlight w:val="none"/>
                <w:u w:val="none"/>
              </w:rPr>
            </w:pPr>
          </w:p>
        </w:tc>
        <w:tc>
          <w:tcPr>
            <w:tcW w:w="3986" w:type="dxa"/>
            <w:tcBorders>
              <w:top w:val="single" w:color="000000" w:sz="8" w:space="0"/>
              <w:left w:val="single" w:color="000000" w:sz="8" w:space="0"/>
              <w:bottom w:val="single" w:color="000000" w:sz="8" w:space="0"/>
              <w:right w:val="single" w:color="000000" w:sz="8" w:space="0"/>
            </w:tcBorders>
            <w:noWrap w:val="0"/>
            <w:vAlign w:val="center"/>
          </w:tcPr>
          <w:p w14:paraId="76FE41F7">
            <w:pPr>
              <w:jc w:val="center"/>
              <w:rPr>
                <w:rFonts w:hint="eastAsia" w:ascii="宋体" w:hAnsi="宋体" w:eastAsia="宋体" w:cs="宋体"/>
                <w:i w:val="0"/>
                <w:iCs w:val="0"/>
                <w:color w:val="auto"/>
                <w:sz w:val="24"/>
                <w:szCs w:val="24"/>
                <w:highlight w:val="none"/>
                <w:u w:val="none"/>
              </w:rPr>
            </w:pPr>
          </w:p>
        </w:tc>
      </w:tr>
      <w:tr w14:paraId="2CE7D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8" w:hRule="atLeast"/>
        </w:trPr>
        <w:tc>
          <w:tcPr>
            <w:tcW w:w="0" w:type="auto"/>
            <w:tcBorders>
              <w:top w:val="nil"/>
              <w:left w:val="single" w:color="000000" w:sz="8" w:space="0"/>
              <w:bottom w:val="single" w:color="000000" w:sz="8" w:space="0"/>
              <w:right w:val="single" w:color="000000" w:sz="8" w:space="0"/>
            </w:tcBorders>
            <w:noWrap/>
            <w:vAlign w:val="center"/>
          </w:tcPr>
          <w:p w14:paraId="443ACE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c>
          <w:tcPr>
            <w:tcW w:w="0" w:type="auto"/>
            <w:gridSpan w:val="5"/>
            <w:tcBorders>
              <w:top w:val="nil"/>
              <w:left w:val="single" w:color="000000" w:sz="8" w:space="0"/>
              <w:bottom w:val="single" w:color="000000" w:sz="8" w:space="0"/>
              <w:right w:val="single" w:color="000000" w:sz="8" w:space="0"/>
            </w:tcBorders>
            <w:noWrap/>
            <w:vAlign w:val="center"/>
          </w:tcPr>
          <w:p w14:paraId="07EFFD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基准人月费用：</w:t>
            </w:r>
          </w:p>
        </w:tc>
        <w:tc>
          <w:tcPr>
            <w:tcW w:w="0" w:type="auto"/>
            <w:tcBorders>
              <w:top w:val="nil"/>
              <w:left w:val="nil"/>
              <w:bottom w:val="single" w:color="000000" w:sz="8" w:space="0"/>
              <w:right w:val="single" w:color="000000" w:sz="8" w:space="0"/>
            </w:tcBorders>
            <w:noWrap/>
            <w:vAlign w:val="center"/>
          </w:tcPr>
          <w:p w14:paraId="08F994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元/月</w:t>
            </w:r>
          </w:p>
        </w:tc>
        <w:tc>
          <w:tcPr>
            <w:tcW w:w="0" w:type="auto"/>
            <w:tcBorders>
              <w:top w:val="nil"/>
              <w:left w:val="nil"/>
              <w:bottom w:val="single" w:color="000000" w:sz="8" w:space="0"/>
              <w:right w:val="single" w:color="000000" w:sz="8" w:space="0"/>
            </w:tcBorders>
            <w:noWrap/>
            <w:vAlign w:val="center"/>
          </w:tcPr>
          <w:p w14:paraId="715B9FE1">
            <w:pPr>
              <w:rPr>
                <w:rFonts w:hint="eastAsia" w:ascii="宋体" w:hAnsi="宋体" w:eastAsia="宋体" w:cs="宋体"/>
                <w:i w:val="0"/>
                <w:iCs w:val="0"/>
                <w:color w:val="auto"/>
                <w:sz w:val="24"/>
                <w:szCs w:val="24"/>
                <w:highlight w:val="none"/>
                <w:u w:val="none"/>
              </w:rPr>
            </w:pPr>
          </w:p>
        </w:tc>
        <w:tc>
          <w:tcPr>
            <w:tcW w:w="3986" w:type="dxa"/>
            <w:tcBorders>
              <w:top w:val="single" w:color="000000" w:sz="8" w:space="0"/>
              <w:left w:val="single" w:color="000000" w:sz="8" w:space="0"/>
              <w:bottom w:val="single" w:color="000000" w:sz="8" w:space="0"/>
              <w:right w:val="single" w:color="000000" w:sz="8" w:space="0"/>
            </w:tcBorders>
            <w:noWrap w:val="0"/>
            <w:vAlign w:val="center"/>
          </w:tcPr>
          <w:p w14:paraId="738B94E7">
            <w:pPr>
              <w:jc w:val="center"/>
              <w:rPr>
                <w:rFonts w:hint="eastAsia" w:ascii="宋体" w:hAnsi="宋体" w:eastAsia="宋体" w:cs="宋体"/>
                <w:i w:val="0"/>
                <w:iCs w:val="0"/>
                <w:color w:val="auto"/>
                <w:sz w:val="24"/>
                <w:szCs w:val="24"/>
                <w:highlight w:val="none"/>
                <w:u w:val="none"/>
              </w:rPr>
            </w:pPr>
          </w:p>
        </w:tc>
      </w:tr>
      <w:tr w14:paraId="69CFD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trPr>
        <w:tc>
          <w:tcPr>
            <w:tcW w:w="0" w:type="auto"/>
            <w:tcBorders>
              <w:top w:val="nil"/>
              <w:left w:val="single" w:color="000000" w:sz="8" w:space="0"/>
              <w:bottom w:val="single" w:color="000000" w:sz="8" w:space="0"/>
              <w:right w:val="single" w:color="000000" w:sz="8" w:space="0"/>
            </w:tcBorders>
            <w:noWrap/>
            <w:vAlign w:val="center"/>
          </w:tcPr>
          <w:p w14:paraId="606C868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31</w:t>
            </w:r>
          </w:p>
        </w:tc>
        <w:tc>
          <w:tcPr>
            <w:tcW w:w="0" w:type="auto"/>
            <w:gridSpan w:val="6"/>
            <w:tcBorders>
              <w:top w:val="nil"/>
              <w:left w:val="single" w:color="000000" w:sz="8" w:space="0"/>
              <w:bottom w:val="single" w:color="000000" w:sz="8" w:space="0"/>
              <w:right w:val="single" w:color="000000" w:sz="8" w:space="0"/>
            </w:tcBorders>
            <w:noWrap/>
            <w:vAlign w:val="center"/>
          </w:tcPr>
          <w:p w14:paraId="35AA669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软件服务费用合计：</w:t>
            </w:r>
          </w:p>
        </w:tc>
        <w:tc>
          <w:tcPr>
            <w:tcW w:w="0" w:type="auto"/>
            <w:tcBorders>
              <w:top w:val="nil"/>
              <w:left w:val="nil"/>
              <w:bottom w:val="single" w:color="000000" w:sz="8" w:space="0"/>
              <w:right w:val="single" w:color="000000" w:sz="8" w:space="0"/>
            </w:tcBorders>
            <w:noWrap/>
            <w:vAlign w:val="center"/>
          </w:tcPr>
          <w:p w14:paraId="6B50A7BA">
            <w:pPr>
              <w:rPr>
                <w:rFonts w:hint="eastAsia" w:ascii="宋体" w:hAnsi="宋体" w:eastAsia="宋体" w:cs="宋体"/>
                <w:b/>
                <w:bCs/>
                <w:i w:val="0"/>
                <w:iCs w:val="0"/>
                <w:color w:val="auto"/>
                <w:sz w:val="24"/>
                <w:szCs w:val="24"/>
                <w:highlight w:val="none"/>
                <w:u w:val="none"/>
              </w:rPr>
            </w:pPr>
          </w:p>
        </w:tc>
        <w:tc>
          <w:tcPr>
            <w:tcW w:w="3986" w:type="dxa"/>
            <w:tcBorders>
              <w:top w:val="nil"/>
              <w:left w:val="nil"/>
              <w:bottom w:val="single" w:color="000000" w:sz="8" w:space="0"/>
              <w:right w:val="single" w:color="000000" w:sz="8" w:space="0"/>
            </w:tcBorders>
            <w:noWrap w:val="0"/>
            <w:vAlign w:val="center"/>
          </w:tcPr>
          <w:p w14:paraId="37478FF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费用=工作量×人工费用</w:t>
            </w:r>
          </w:p>
        </w:tc>
      </w:tr>
    </w:tbl>
    <w:p w14:paraId="49F7FBA7">
      <w:pPr>
        <w:pBdr>
          <w:bottom w:val="dotted" w:color="auto" w:sz="24" w:space="1"/>
        </w:pBdr>
        <w:spacing w:line="360" w:lineRule="auto"/>
        <w:jc w:val="left"/>
        <w:rPr>
          <w:rFonts w:hint="eastAsia" w:ascii="宋体" w:hAnsi="宋体" w:eastAsia="宋体" w:cs="宋体"/>
          <w:color w:val="auto"/>
          <w:highlight w:val="none"/>
        </w:rPr>
        <w:sectPr>
          <w:pgSz w:w="33675" w:h="23811" w:orient="landscape"/>
          <w:pgMar w:top="1304" w:right="1389" w:bottom="1304" w:left="1440" w:header="851" w:footer="992" w:gutter="0"/>
          <w:cols w:space="720" w:num="1"/>
          <w:docGrid w:linePitch="312" w:charSpace="0"/>
        </w:sectPr>
      </w:pPr>
      <w:r>
        <w:rPr>
          <w:rFonts w:hint="eastAsia" w:ascii="宋体" w:hAnsi="宋体" w:eastAsia="宋体" w:cs="宋体"/>
          <w:b/>
          <w:bCs/>
          <w:i w:val="0"/>
          <w:iCs w:val="0"/>
          <w:color w:val="auto"/>
          <w:kern w:val="0"/>
          <w:sz w:val="40"/>
          <w:szCs w:val="40"/>
          <w:highlight w:val="none"/>
          <w:u w:val="none"/>
          <w:lang w:val="en-US" w:eastAsia="zh-CN" w:bidi="ar"/>
        </w:rPr>
        <w:br w:type="page"/>
      </w:r>
    </w:p>
    <w:bookmarkEnd w:id="49"/>
    <w:bookmarkEnd w:id="50"/>
    <w:bookmarkEnd w:id="51"/>
    <w:p w14:paraId="016CA6BB">
      <w:pPr>
        <w:pStyle w:val="5"/>
        <w:ind w:firstLine="0"/>
        <w:rPr>
          <w:rFonts w:hint="eastAsia" w:ascii="宋体" w:hAnsi="宋体" w:eastAsia="宋体" w:cs="宋体"/>
          <w:color w:val="auto"/>
          <w:highlight w:val="none"/>
        </w:rPr>
      </w:pPr>
      <w:bookmarkStart w:id="52" w:name="_Toc17699_WPSOffice_Level1"/>
      <w:r>
        <w:rPr>
          <w:rFonts w:hint="eastAsia" w:ascii="宋体" w:hAnsi="宋体" w:eastAsia="宋体" w:cs="宋体"/>
          <w:color w:val="auto"/>
          <w:highlight w:val="none"/>
        </w:rPr>
        <w:t>第</w:t>
      </w:r>
      <w:bookmarkStart w:id="53" w:name="_Hlt240110027"/>
      <w:bookmarkEnd w:id="53"/>
      <w:r>
        <w:rPr>
          <w:rFonts w:hint="eastAsia" w:ascii="宋体" w:hAnsi="宋体" w:eastAsia="宋体" w:cs="宋体"/>
          <w:color w:val="auto"/>
          <w:highlight w:val="none"/>
        </w:rPr>
        <w:t>四章 评标办法</w:t>
      </w:r>
    </w:p>
    <w:p w14:paraId="7173B4DF">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eastAsia="宋体" w:cs="宋体"/>
          <w:b/>
          <w:color w:val="auto"/>
          <w:sz w:val="24"/>
          <w:highlight w:val="none"/>
        </w:rPr>
      </w:pPr>
      <w:bookmarkStart w:id="54" w:name="_Toc10750_WPSOffice_Level2"/>
      <w:r>
        <w:rPr>
          <w:rFonts w:hint="eastAsia" w:ascii="宋体" w:hAnsi="宋体" w:eastAsia="宋体" w:cs="宋体"/>
          <w:b/>
          <w:color w:val="auto"/>
          <w:sz w:val="24"/>
          <w:highlight w:val="none"/>
        </w:rPr>
        <w:t>一．总  则</w:t>
      </w:r>
      <w:bookmarkEnd w:id="54"/>
    </w:p>
    <w:p w14:paraId="5BA72E7B">
      <w:pPr>
        <w:adjustRightInd w:val="0"/>
        <w:snapToGrid w:val="0"/>
        <w:spacing w:line="360" w:lineRule="auto"/>
        <w:ind w:right="-10" w:firstLine="422" w:firstLineChars="175"/>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第一条 </w:t>
      </w:r>
      <w:r>
        <w:rPr>
          <w:rFonts w:hint="eastAsia" w:ascii="宋体" w:hAnsi="宋体" w:eastAsia="宋体" w:cs="宋体"/>
          <w:color w:val="auto"/>
          <w:sz w:val="24"/>
          <w:highlight w:val="none"/>
        </w:rPr>
        <w:t>为了做好</w:t>
      </w:r>
      <w:r>
        <w:rPr>
          <w:rFonts w:hint="eastAsia" w:ascii="宋体" w:hAnsi="宋体" w:eastAsia="宋体" w:cs="宋体"/>
          <w:b/>
          <w:bCs/>
          <w:color w:val="auto"/>
          <w:sz w:val="24"/>
          <w:highlight w:val="none"/>
        </w:rPr>
        <w:t>本项目（</w:t>
      </w: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highlight w:val="none"/>
          <w:lang w:val="en-US" w:eastAsia="zh-CN"/>
        </w:rPr>
        <w:t>鹿财公开-2025-7</w:t>
      </w:r>
      <w:r>
        <w:rPr>
          <w:rFonts w:hint="eastAsia" w:ascii="宋体" w:hAnsi="宋体" w:eastAsia="宋体" w:cs="宋体"/>
          <w:b/>
          <w:color w:val="auto"/>
          <w:sz w:val="24"/>
          <w:highlight w:val="none"/>
        </w:rPr>
        <w:t>号</w:t>
      </w:r>
      <w:r>
        <w:rPr>
          <w:rFonts w:hint="eastAsia" w:ascii="宋体" w:hAnsi="宋体" w:eastAsia="宋体" w:cs="宋体"/>
          <w:b/>
          <w:bCs/>
          <w:color w:val="auto"/>
          <w:sz w:val="24"/>
          <w:highlight w:val="none"/>
        </w:rPr>
        <w:t>）</w:t>
      </w:r>
      <w:r>
        <w:rPr>
          <w:rFonts w:hint="eastAsia" w:ascii="宋体" w:hAnsi="宋体" w:eastAsia="宋体" w:cs="宋体"/>
          <w:color w:val="auto"/>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2AFA2DDA">
      <w:pPr>
        <w:adjustRightInd w:val="0"/>
        <w:snapToGrid w:val="0"/>
        <w:spacing w:line="360" w:lineRule="auto"/>
        <w:ind w:right="-10" w:firstLine="422" w:firstLineChars="175"/>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 xml:space="preserve">第二条 </w:t>
      </w:r>
      <w:r>
        <w:rPr>
          <w:rFonts w:hint="eastAsia" w:ascii="宋体" w:hAnsi="宋体" w:eastAsia="宋体" w:cs="宋体"/>
          <w:color w:val="auto"/>
          <w:sz w:val="24"/>
          <w:highlight w:val="none"/>
        </w:rPr>
        <w:t>本次项目评标采用</w:t>
      </w:r>
      <w:r>
        <w:rPr>
          <w:rFonts w:hint="eastAsia" w:ascii="宋体" w:hAnsi="宋体" w:eastAsia="宋体" w:cs="宋体"/>
          <w:b/>
          <w:color w:val="auto"/>
          <w:sz w:val="24"/>
          <w:highlight w:val="none"/>
        </w:rPr>
        <w:t>综合评分法</w:t>
      </w:r>
      <w:r>
        <w:rPr>
          <w:rFonts w:hint="eastAsia" w:ascii="宋体" w:hAnsi="宋体" w:eastAsia="宋体" w:cs="宋体"/>
          <w:color w:val="auto"/>
          <w:sz w:val="24"/>
          <w:highlight w:val="none"/>
        </w:rPr>
        <w:t>作为对投标人标书的比较方法。</w:t>
      </w:r>
    </w:p>
    <w:p w14:paraId="2C629F05">
      <w:pPr>
        <w:adjustRightInd w:val="0"/>
        <w:snapToGrid w:val="0"/>
        <w:spacing w:line="360" w:lineRule="auto"/>
        <w:ind w:left="-61" w:leftChars="-29"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第三条 </w:t>
      </w:r>
      <w:r>
        <w:rPr>
          <w:rFonts w:hint="eastAsia" w:ascii="宋体" w:hAnsi="宋体" w:eastAsia="宋体" w:cs="宋体"/>
          <w:color w:val="auto"/>
          <w:sz w:val="24"/>
          <w:highlight w:val="none"/>
        </w:rPr>
        <w:t>按照《中华人民共和国政府采购法》及其相关规定组成评标委员会负责本项目的评审工作。评标委员会</w:t>
      </w:r>
      <w:r>
        <w:rPr>
          <w:rFonts w:hint="eastAsia" w:ascii="宋体" w:hAnsi="宋体" w:eastAsia="宋体" w:cs="宋体"/>
          <w:color w:val="auto"/>
          <w:sz w:val="24"/>
          <w:szCs w:val="22"/>
          <w:highlight w:val="none"/>
        </w:rPr>
        <w:t>在政府采购专家库中随机抽取。</w:t>
      </w:r>
    </w:p>
    <w:p w14:paraId="062CE22E">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第四条 </w:t>
      </w:r>
      <w:r>
        <w:rPr>
          <w:rFonts w:hint="eastAsia" w:ascii="宋体" w:hAnsi="宋体" w:eastAsia="宋体" w:cs="宋体"/>
          <w:color w:val="auto"/>
          <w:sz w:val="24"/>
          <w:highlight w:val="none"/>
        </w:rPr>
        <w:t>评委会按照“客观公正，实事求是”的原则，评价参加本次招标的投标人所提供的产品价格、性能、质量、服务及对招标文件的符合性及响应性。</w:t>
      </w:r>
    </w:p>
    <w:p w14:paraId="7DD86022">
      <w:pPr>
        <w:adjustRightInd w:val="0"/>
        <w:snapToGrid w:val="0"/>
        <w:spacing w:line="360" w:lineRule="auto"/>
        <w:jc w:val="center"/>
        <w:rPr>
          <w:rFonts w:hint="eastAsia" w:ascii="宋体" w:hAnsi="宋体" w:eastAsia="宋体" w:cs="宋体"/>
          <w:color w:val="auto"/>
          <w:sz w:val="24"/>
          <w:highlight w:val="none"/>
        </w:rPr>
      </w:pPr>
      <w:bookmarkStart w:id="55" w:name="_Toc31922_WPSOffice_Level2"/>
      <w:r>
        <w:rPr>
          <w:rFonts w:hint="eastAsia" w:ascii="宋体" w:hAnsi="宋体" w:eastAsia="宋体" w:cs="宋体"/>
          <w:b/>
          <w:color w:val="auto"/>
          <w:sz w:val="24"/>
          <w:highlight w:val="none"/>
        </w:rPr>
        <w:t>二．评标程序及评审细则</w:t>
      </w:r>
      <w:bookmarkEnd w:id="55"/>
    </w:p>
    <w:p w14:paraId="58A7D87A">
      <w:pPr>
        <w:adjustRightInd w:val="0"/>
        <w:snapToGrid w:val="0"/>
        <w:spacing w:line="360" w:lineRule="auto"/>
        <w:ind w:right="-10" w:firstLine="422" w:firstLineChars="175"/>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第五条</w:t>
      </w:r>
      <w:r>
        <w:rPr>
          <w:rFonts w:hint="eastAsia" w:ascii="宋体" w:hAnsi="宋体" w:eastAsia="宋体" w:cs="宋体"/>
          <w:bCs/>
          <w:color w:val="auto"/>
          <w:sz w:val="24"/>
          <w:highlight w:val="none"/>
        </w:rPr>
        <w:t xml:space="preserve"> 评标工作于开标后进行。评委会应认真研究招标文件，至少应了解和熟悉以下内容：</w:t>
      </w:r>
    </w:p>
    <w:p w14:paraId="2C8EB28A">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（一）招标的目标；</w:t>
      </w:r>
    </w:p>
    <w:p w14:paraId="3C0B0A78">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（二）招标项目的范围和性质；</w:t>
      </w:r>
    </w:p>
    <w:p w14:paraId="3B12A117">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（三）招标文件中规定的主要技术要求、标准和商务条款；</w:t>
      </w:r>
    </w:p>
    <w:p w14:paraId="4858F7AC">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（四）招标文件规定的评标标准、评标方法和在评标过程中考虑的相关因素。</w:t>
      </w:r>
    </w:p>
    <w:p w14:paraId="4F9D887B">
      <w:pPr>
        <w:adjustRightInd w:val="0"/>
        <w:snapToGrid w:val="0"/>
        <w:spacing w:line="360" w:lineRule="auto"/>
        <w:ind w:right="-10" w:firstLine="422" w:firstLineChars="175"/>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第六条</w:t>
      </w:r>
      <w:r>
        <w:rPr>
          <w:rFonts w:hint="eastAsia" w:ascii="宋体" w:hAnsi="宋体" w:eastAsia="宋体" w:cs="宋体"/>
          <w:bCs/>
          <w:color w:val="auto"/>
          <w:sz w:val="24"/>
          <w:highlight w:val="none"/>
        </w:rPr>
        <w:t xml:space="preserve"> 有效投标应符合以下原则：</w:t>
      </w:r>
    </w:p>
    <w:p w14:paraId="65B9D000">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（一）满足招标文件的实质性要求；</w:t>
      </w:r>
    </w:p>
    <w:p w14:paraId="79F125AD">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（二）无重大偏离、保留或采购人不能接受的附加条件；</w:t>
      </w:r>
    </w:p>
    <w:p w14:paraId="735AE430">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（三）通过投标符合性审查；</w:t>
      </w:r>
    </w:p>
    <w:p w14:paraId="1000CDE4">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（四）评委会依据招标文件认定的其他原则；</w:t>
      </w:r>
    </w:p>
    <w:p w14:paraId="334FE441">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（五）商务偏差表或技术偏差表数据不存在弄虚作假现象；</w:t>
      </w:r>
    </w:p>
    <w:p w14:paraId="46F51D39">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（六）投标人报价未超过采购人的采购预算；</w:t>
      </w:r>
    </w:p>
    <w:p w14:paraId="5A641298">
      <w:pPr>
        <w:adjustRightInd w:val="0"/>
        <w:snapToGrid w:val="0"/>
        <w:spacing w:line="360" w:lineRule="auto"/>
        <w:ind w:right="-10" w:firstLine="482" w:firstLineChars="200"/>
        <w:rPr>
          <w:rFonts w:hint="eastAsia" w:ascii="宋体" w:hAnsi="宋体" w:eastAsia="宋体" w:cs="宋体"/>
          <w:bCs/>
          <w:color w:val="auto"/>
          <w:sz w:val="24"/>
          <w:szCs w:val="22"/>
          <w:highlight w:val="none"/>
        </w:rPr>
      </w:pPr>
      <w:r>
        <w:rPr>
          <w:rFonts w:hint="eastAsia" w:ascii="宋体" w:hAnsi="宋体" w:eastAsia="宋体" w:cs="宋体"/>
          <w:b/>
          <w:color w:val="auto"/>
          <w:sz w:val="24"/>
          <w:highlight w:val="none"/>
        </w:rPr>
        <w:t xml:space="preserve">第七条 </w:t>
      </w:r>
      <w:r>
        <w:rPr>
          <w:rFonts w:hint="eastAsia" w:ascii="宋体" w:hAnsi="宋体" w:eastAsia="宋体" w:cs="宋体"/>
          <w:color w:val="auto"/>
          <w:sz w:val="24"/>
          <w:highlight w:val="none"/>
        </w:rPr>
        <w:t>评委会从每个投标人的投标文件开始独立评审，对开标后投标人所提出的优惠条件不予以考虑。按</w:t>
      </w:r>
      <w:r>
        <w:rPr>
          <w:rFonts w:hint="eastAsia" w:ascii="宋体" w:hAnsi="宋体" w:eastAsia="宋体" w:cs="宋体"/>
          <w:bCs/>
          <w:color w:val="auto"/>
          <w:sz w:val="24"/>
          <w:szCs w:val="22"/>
          <w:highlight w:val="none"/>
        </w:rPr>
        <w:t>综合得分从高到低的顺序评出中标候选人。</w:t>
      </w:r>
    </w:p>
    <w:p w14:paraId="2746F699">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第八条 </w:t>
      </w:r>
      <w:r>
        <w:rPr>
          <w:rFonts w:hint="eastAsia" w:ascii="宋体" w:hAnsi="宋体" w:eastAsia="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27F62C9">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第九条</w:t>
      </w:r>
      <w:r>
        <w:rPr>
          <w:rFonts w:hint="eastAsia" w:ascii="宋体" w:hAnsi="宋体" w:eastAsia="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174F51BF">
      <w:pPr>
        <w:rPr>
          <w:rFonts w:hint="eastAsia" w:ascii="宋体" w:hAnsi="宋体" w:eastAsia="宋体" w:cs="宋体"/>
          <w:color w:val="auto"/>
          <w:sz w:val="24"/>
          <w:highlight w:val="none"/>
        </w:rPr>
      </w:pPr>
    </w:p>
    <w:p w14:paraId="559C6A78">
      <w:pPr>
        <w:pStyle w:val="18"/>
        <w:ind w:firstLine="480" w:firstLineChars="200"/>
        <w:rPr>
          <w:rFonts w:hint="eastAsia" w:ascii="宋体" w:hAnsi="宋体" w:eastAsia="宋体" w:cs="宋体"/>
          <w:color w:val="auto"/>
          <w:sz w:val="24"/>
          <w:szCs w:val="20"/>
          <w:highlight w:val="none"/>
        </w:rPr>
      </w:pPr>
    </w:p>
    <w:p w14:paraId="5C79723E">
      <w:pPr>
        <w:pStyle w:val="18"/>
        <w:rPr>
          <w:rFonts w:hint="eastAsia" w:ascii="宋体" w:hAnsi="宋体" w:eastAsia="宋体" w:cs="宋体"/>
          <w:color w:val="auto"/>
          <w:highlight w:val="none"/>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0B9AB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4C0678CD">
            <w:pPr>
              <w:pStyle w:val="29"/>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color w:val="auto"/>
                <w:kern w:val="2"/>
                <w:highlight w:val="none"/>
                <w:lang w:val="en-US" w:eastAsia="zh-CN"/>
              </w:rPr>
            </w:pPr>
            <w:r>
              <w:rPr>
                <w:rFonts w:hint="eastAsia" w:ascii="宋体" w:hAnsi="宋体" w:eastAsia="宋体" w:cs="宋体"/>
                <w:b/>
                <w:color w:val="auto"/>
                <w:kern w:val="2"/>
                <w:highlight w:val="none"/>
                <w:lang w:val="en-US" w:eastAsia="zh-CN"/>
              </w:rPr>
              <w:t>项目符合性审查表</w:t>
            </w:r>
          </w:p>
        </w:tc>
      </w:tr>
      <w:tr w14:paraId="43836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6790B6C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005" w:type="dxa"/>
            <w:tcBorders>
              <w:bottom w:val="single" w:color="auto" w:sz="4" w:space="0"/>
            </w:tcBorders>
            <w:noWrap w:val="0"/>
            <w:vAlign w:val="center"/>
          </w:tcPr>
          <w:p w14:paraId="21373B9C">
            <w:pPr>
              <w:pStyle w:val="29"/>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Cs w:val="24"/>
                <w:highlight w:val="none"/>
                <w:lang w:val="en-US" w:eastAsia="zh-CN"/>
              </w:rPr>
            </w:pPr>
            <w:r>
              <w:rPr>
                <w:rFonts w:hint="eastAsia" w:ascii="宋体" w:hAnsi="宋体" w:eastAsia="宋体" w:cs="宋体"/>
                <w:color w:val="auto"/>
                <w:kern w:val="2"/>
                <w:szCs w:val="24"/>
                <w:highlight w:val="none"/>
                <w:lang w:val="en-US" w:eastAsia="zh-CN"/>
              </w:rPr>
              <w:t>指标名称</w:t>
            </w:r>
          </w:p>
        </w:tc>
        <w:tc>
          <w:tcPr>
            <w:tcW w:w="2353" w:type="dxa"/>
            <w:tcBorders>
              <w:bottom w:val="single" w:color="auto" w:sz="4" w:space="0"/>
            </w:tcBorders>
            <w:noWrap w:val="0"/>
            <w:vAlign w:val="center"/>
          </w:tcPr>
          <w:p w14:paraId="45546C77">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725" w:type="dxa"/>
            <w:tcBorders>
              <w:bottom w:val="single" w:color="auto" w:sz="4" w:space="0"/>
            </w:tcBorders>
            <w:noWrap w:val="0"/>
            <w:vAlign w:val="center"/>
          </w:tcPr>
          <w:p w14:paraId="7F2B2DC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14:paraId="4607B421">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2569" w:type="dxa"/>
            <w:tcBorders>
              <w:bottom w:val="single" w:color="auto" w:sz="4" w:space="0"/>
            </w:tcBorders>
            <w:noWrap w:val="0"/>
            <w:vAlign w:val="center"/>
          </w:tcPr>
          <w:p w14:paraId="661BC7AB">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14:paraId="736EC9AB">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14:paraId="33C5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32A7714D">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005" w:type="dxa"/>
            <w:noWrap w:val="0"/>
            <w:vAlign w:val="center"/>
          </w:tcPr>
          <w:p w14:paraId="24D9FC6B">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投标人资格</w:t>
            </w:r>
          </w:p>
        </w:tc>
        <w:tc>
          <w:tcPr>
            <w:tcW w:w="2353" w:type="dxa"/>
            <w:noWrap w:val="0"/>
            <w:vAlign w:val="center"/>
          </w:tcPr>
          <w:p w14:paraId="0226E230">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见招标文件</w:t>
            </w:r>
          </w:p>
        </w:tc>
        <w:tc>
          <w:tcPr>
            <w:tcW w:w="725" w:type="dxa"/>
            <w:noWrap w:val="0"/>
            <w:vAlign w:val="center"/>
          </w:tcPr>
          <w:p w14:paraId="7F47DAA7">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52B4FD08">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4375F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4CB3AB7D">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005" w:type="dxa"/>
            <w:noWrap w:val="0"/>
            <w:vAlign w:val="center"/>
          </w:tcPr>
          <w:p w14:paraId="097C08AB">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技术要求</w:t>
            </w:r>
          </w:p>
        </w:tc>
        <w:tc>
          <w:tcPr>
            <w:tcW w:w="2353" w:type="dxa"/>
            <w:noWrap w:val="0"/>
            <w:vAlign w:val="center"/>
          </w:tcPr>
          <w:p w14:paraId="276FEBFB">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按评标办法</w:t>
            </w:r>
          </w:p>
        </w:tc>
        <w:tc>
          <w:tcPr>
            <w:tcW w:w="725" w:type="dxa"/>
            <w:noWrap w:val="0"/>
            <w:vAlign w:val="center"/>
          </w:tcPr>
          <w:p w14:paraId="2F05D504">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3823D68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160C3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7F9A810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005" w:type="dxa"/>
            <w:noWrap w:val="0"/>
            <w:vAlign w:val="center"/>
          </w:tcPr>
          <w:p w14:paraId="4DC76915">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质保及售后等</w:t>
            </w:r>
          </w:p>
        </w:tc>
        <w:tc>
          <w:tcPr>
            <w:tcW w:w="2353" w:type="dxa"/>
            <w:noWrap w:val="0"/>
            <w:vAlign w:val="center"/>
          </w:tcPr>
          <w:p w14:paraId="525D73C2">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见招标文件</w:t>
            </w:r>
          </w:p>
        </w:tc>
        <w:tc>
          <w:tcPr>
            <w:tcW w:w="725" w:type="dxa"/>
            <w:noWrap w:val="0"/>
            <w:vAlign w:val="center"/>
          </w:tcPr>
          <w:p w14:paraId="2D0E25A3">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540FF12C">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bl>
    <w:p w14:paraId="0E41AF55">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highlight w:val="none"/>
        </w:rPr>
        <w:t>评分标准（满分为100分）</w:t>
      </w:r>
      <w:r>
        <w:rPr>
          <w:rFonts w:hint="eastAsia" w:ascii="宋体" w:hAnsi="宋体" w:eastAsia="宋体" w:cs="宋体"/>
          <w:color w:val="auto"/>
          <w:sz w:val="24"/>
          <w:highlight w:val="none"/>
        </w:rPr>
        <w:t>说明:</w:t>
      </w:r>
      <w:r>
        <w:rPr>
          <w:rFonts w:hint="eastAsia" w:ascii="宋体" w:hAnsi="宋体" w:eastAsia="宋体" w:cs="宋体"/>
          <w:color w:val="auto"/>
          <w:sz w:val="24"/>
          <w:szCs w:val="24"/>
          <w:highlight w:val="none"/>
        </w:rPr>
        <w:t>各投标人的最终得分为各评委得分的算术平均值；评分分值计算保留小数点后两位，小数点后第三位“四舍五入”。</w:t>
      </w:r>
    </w:p>
    <w:p w14:paraId="62B60EB2">
      <w:pPr>
        <w:pStyle w:val="19"/>
        <w:spacing w:before="0" w:beforeAutospacing="0" w:after="0" w:afterAutospacing="0"/>
        <w:contextualSpacing/>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r>
        <w:rPr>
          <w:rFonts w:hint="eastAsia" w:ascii="宋体" w:hAnsi="宋体" w:eastAsia="宋体" w:cs="宋体"/>
          <w:color w:val="auto"/>
          <w:sz w:val="32"/>
          <w:szCs w:val="32"/>
          <w:highlight w:val="none"/>
        </w:rPr>
        <w:t>评标办法</w:t>
      </w:r>
    </w:p>
    <w:tbl>
      <w:tblPr>
        <w:tblStyle w:val="22"/>
        <w:tblW w:w="57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1068"/>
        <w:gridCol w:w="854"/>
        <w:gridCol w:w="7902"/>
      </w:tblGrid>
      <w:tr w14:paraId="24BB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5" w:hRule="atLeast"/>
          <w:jc w:val="center"/>
        </w:trPr>
        <w:tc>
          <w:tcPr>
            <w:tcW w:w="547" w:type="pct"/>
            <w:noWrap w:val="0"/>
            <w:vAlign w:val="center"/>
          </w:tcPr>
          <w:p w14:paraId="7E36C93A">
            <w:pPr>
              <w:jc w:val="center"/>
              <w:rPr>
                <w:rFonts w:ascii="宋体" w:hAnsi="宋体"/>
                <w:color w:val="auto"/>
                <w:szCs w:val="21"/>
                <w:highlight w:val="none"/>
              </w:rPr>
            </w:pPr>
            <w:r>
              <w:rPr>
                <w:rFonts w:hint="eastAsia" w:ascii="宋体" w:hAnsi="宋体" w:eastAsia="宋体" w:cs="宋体"/>
                <w:color w:val="auto"/>
                <w:sz w:val="20"/>
                <w:szCs w:val="21"/>
                <w:highlight w:val="none"/>
              </w:rPr>
              <w:t>投标报价评分标准</w:t>
            </w:r>
            <w:r>
              <w:rPr>
                <w:rFonts w:hint="eastAsia" w:ascii="宋体" w:hAnsi="宋体" w:cs="宋体"/>
                <w:color w:val="auto"/>
                <w:sz w:val="20"/>
                <w:szCs w:val="21"/>
                <w:highlight w:val="none"/>
                <w:lang w:val="en-US" w:eastAsia="zh-CN"/>
              </w:rPr>
              <w:t>10</w:t>
            </w:r>
            <w:r>
              <w:rPr>
                <w:rFonts w:hint="eastAsia" w:ascii="宋体" w:hAnsi="宋体" w:eastAsia="宋体" w:cs="宋体"/>
                <w:color w:val="auto"/>
                <w:sz w:val="20"/>
                <w:szCs w:val="21"/>
                <w:highlight w:val="none"/>
              </w:rPr>
              <w:t>分</w:t>
            </w:r>
          </w:p>
        </w:tc>
        <w:tc>
          <w:tcPr>
            <w:tcW w:w="484" w:type="pct"/>
            <w:noWrap w:val="0"/>
            <w:vAlign w:val="center"/>
          </w:tcPr>
          <w:p w14:paraId="500F173F">
            <w:pPr>
              <w:jc w:val="center"/>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投标报价</w:t>
            </w:r>
          </w:p>
        </w:tc>
        <w:tc>
          <w:tcPr>
            <w:tcW w:w="387" w:type="pct"/>
            <w:noWrap w:val="0"/>
            <w:vAlign w:val="center"/>
          </w:tcPr>
          <w:p w14:paraId="7ECB7433">
            <w:pPr>
              <w:jc w:val="center"/>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10</w:t>
            </w:r>
          </w:p>
        </w:tc>
        <w:tc>
          <w:tcPr>
            <w:tcW w:w="3581" w:type="pct"/>
            <w:noWrap w:val="0"/>
            <w:vAlign w:val="top"/>
          </w:tcPr>
          <w:p w14:paraId="04AC6019">
            <w:pPr>
              <w:jc w:val="left"/>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价格分应当采用低价优先法计算，即满足招标文件要求且投标价格最低的投标报价为评标基准价，其价格分为满分。其他投标人的价格分统一按照下列公式计算：</w:t>
            </w:r>
          </w:p>
          <w:p w14:paraId="57D5ED1B">
            <w:pPr>
              <w:jc w:val="left"/>
              <w:rPr>
                <w:rFonts w:hint="eastAsia" w:ascii="宋体" w:hAnsi="宋体" w:eastAsia="宋体" w:cs="宋体"/>
                <w:color w:val="auto"/>
                <w:sz w:val="20"/>
                <w:szCs w:val="21"/>
                <w:highlight w:val="none"/>
                <w:lang w:val="en-US" w:eastAsia="zh-CN"/>
              </w:rPr>
            </w:pPr>
            <w:r>
              <w:rPr>
                <w:rFonts w:hint="eastAsia" w:ascii="宋体" w:hAnsi="宋体" w:eastAsia="宋体" w:cs="宋体"/>
                <w:color w:val="auto"/>
                <w:sz w:val="20"/>
                <w:szCs w:val="21"/>
                <w:highlight w:val="none"/>
              </w:rPr>
              <w:t>　　投标报价得分=(评标基准价／投标报价)×10</w:t>
            </w:r>
          </w:p>
          <w:p w14:paraId="65F366B6">
            <w:pPr>
              <w:jc w:val="left"/>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注：价格分计算保留小数点后二位。</w:t>
            </w:r>
          </w:p>
          <w:p w14:paraId="6E5A24F0">
            <w:pPr>
              <w:jc w:val="left"/>
              <w:rPr>
                <w:rFonts w:hint="eastAsia" w:ascii="宋体" w:hAnsi="宋体" w:eastAsia="宋体" w:cs="宋体"/>
                <w:color w:val="auto"/>
                <w:sz w:val="20"/>
                <w:szCs w:val="21"/>
                <w:highlight w:val="none"/>
                <w:lang w:val="en-US" w:eastAsia="zh-CN"/>
              </w:rPr>
            </w:pPr>
            <w:r>
              <w:rPr>
                <w:rFonts w:hint="eastAsia" w:ascii="宋体" w:hAnsi="宋体" w:eastAsia="宋体" w:cs="宋体"/>
                <w:color w:val="auto"/>
                <w:sz w:val="20"/>
                <w:szCs w:val="21"/>
                <w:highlight w:val="none"/>
                <w:lang w:val="en-US" w:eastAsia="zh-CN"/>
              </w:rPr>
              <w:t>备注：根据财政部、工信部关于印发《政府采购促进中小企业发展管理办法》的通知（财库〔2020〕46号 ）文件规定：</w:t>
            </w:r>
          </w:p>
          <w:p w14:paraId="024D33EA">
            <w:pPr>
              <w:jc w:val="left"/>
              <w:rPr>
                <w:rFonts w:hint="eastAsia" w:ascii="宋体" w:hAnsi="宋体" w:eastAsia="宋体" w:cs="宋体"/>
                <w:color w:val="auto"/>
                <w:sz w:val="20"/>
                <w:szCs w:val="21"/>
                <w:highlight w:val="none"/>
                <w:lang w:val="en-US" w:eastAsia="zh-CN"/>
              </w:rPr>
            </w:pPr>
            <w:r>
              <w:rPr>
                <w:rFonts w:hint="eastAsia" w:ascii="宋体" w:hAnsi="宋体" w:eastAsia="宋体" w:cs="宋体"/>
                <w:color w:val="auto"/>
                <w:sz w:val="20"/>
                <w:szCs w:val="21"/>
                <w:highlight w:val="none"/>
                <w:lang w:val="en-US" w:eastAsia="zh-CN"/>
              </w:rPr>
              <w:t>（1）对小微企业报价给予20%扣除，请按照《政府采购促进中小企业发展管理办法》要求提供中小企业声明函。</w:t>
            </w:r>
          </w:p>
          <w:p w14:paraId="6AD339C8">
            <w:pPr>
              <w:jc w:val="left"/>
              <w:rPr>
                <w:rFonts w:hint="eastAsia" w:ascii="宋体" w:hAnsi="宋体" w:eastAsia="宋体" w:cs="宋体"/>
                <w:color w:val="auto"/>
                <w:sz w:val="20"/>
                <w:szCs w:val="21"/>
                <w:highlight w:val="none"/>
                <w:lang w:val="en-US" w:eastAsia="zh-CN"/>
              </w:rPr>
            </w:pPr>
            <w:r>
              <w:rPr>
                <w:rFonts w:hint="eastAsia" w:ascii="宋体" w:hAnsi="宋体" w:eastAsia="宋体" w:cs="宋体"/>
                <w:color w:val="auto"/>
                <w:sz w:val="20"/>
                <w:szCs w:val="21"/>
                <w:highlight w:val="none"/>
                <w:lang w:val="en-US" w:eastAsia="zh-CN"/>
              </w:rPr>
              <w:t>（2）关于监狱企业：视同小微企业。须提供由省级以上监狱管理局、戒毒管理局（含新疆生产建设兵团）出具的属于监狱企业的证明文件，否则不考虑价格扣除。</w:t>
            </w:r>
          </w:p>
          <w:p w14:paraId="2147C9D8">
            <w:pPr>
              <w:jc w:val="left"/>
              <w:rPr>
                <w:rFonts w:hint="eastAsia" w:ascii="宋体" w:hAnsi="宋体" w:eastAsia="宋体" w:cs="宋体"/>
                <w:color w:val="auto"/>
                <w:sz w:val="20"/>
                <w:szCs w:val="21"/>
                <w:highlight w:val="none"/>
                <w:lang w:val="en-US" w:eastAsia="zh-CN"/>
              </w:rPr>
            </w:pPr>
            <w:r>
              <w:rPr>
                <w:rFonts w:hint="eastAsia" w:ascii="宋体" w:hAnsi="宋体" w:eastAsia="宋体" w:cs="宋体"/>
                <w:color w:val="auto"/>
                <w:sz w:val="20"/>
                <w:szCs w:val="21"/>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050BB945">
            <w:pPr>
              <w:jc w:val="left"/>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（4）没有提供有效证明材料的供应商将被视为不接受投标总价的扣除，用原投标总价参与评审。</w:t>
            </w:r>
          </w:p>
        </w:tc>
      </w:tr>
      <w:tr w14:paraId="53B99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547" w:type="pct"/>
            <w:vMerge w:val="restart"/>
            <w:noWrap w:val="0"/>
            <w:vAlign w:val="center"/>
          </w:tcPr>
          <w:p w14:paraId="6A85558C">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商务部分30分</w:t>
            </w:r>
          </w:p>
        </w:tc>
        <w:tc>
          <w:tcPr>
            <w:tcW w:w="484" w:type="pct"/>
            <w:noWrap w:val="0"/>
            <w:vAlign w:val="center"/>
          </w:tcPr>
          <w:p w14:paraId="5F56532A">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企业能力</w:t>
            </w:r>
          </w:p>
        </w:tc>
        <w:tc>
          <w:tcPr>
            <w:tcW w:w="387" w:type="pct"/>
            <w:noWrap w:val="0"/>
            <w:vAlign w:val="center"/>
          </w:tcPr>
          <w:p w14:paraId="2B0B4D1D">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18</w:t>
            </w:r>
          </w:p>
        </w:tc>
        <w:tc>
          <w:tcPr>
            <w:tcW w:w="3581" w:type="pct"/>
            <w:noWrap w:val="0"/>
            <w:vAlign w:val="center"/>
          </w:tcPr>
          <w:p w14:paraId="56F604F4">
            <w:pPr>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1.投标人具有ITSS信息技术服务运行维护符合性证书，得2分，</w:t>
            </w:r>
            <w:r>
              <w:rPr>
                <w:rFonts w:hint="default" w:ascii="宋体" w:hAnsi="宋体" w:eastAsia="宋体" w:cs="宋体"/>
                <w:color w:val="auto"/>
                <w:kern w:val="2"/>
                <w:sz w:val="21"/>
                <w:szCs w:val="21"/>
                <w:highlight w:val="none"/>
                <w:lang w:val="en-US" w:eastAsia="zh-CN" w:bidi="ar-SA"/>
              </w:rPr>
              <w:t>没有</w:t>
            </w:r>
            <w:r>
              <w:rPr>
                <w:rFonts w:hint="eastAsia" w:ascii="宋体" w:hAnsi="宋体" w:eastAsia="宋体" w:cs="宋体"/>
                <w:color w:val="auto"/>
                <w:kern w:val="2"/>
                <w:sz w:val="21"/>
                <w:szCs w:val="21"/>
                <w:highlight w:val="none"/>
                <w:lang w:val="en-US" w:eastAsia="zh-CN" w:bidi="ar-SA"/>
              </w:rPr>
              <w:t>不得分。</w:t>
            </w:r>
          </w:p>
          <w:p w14:paraId="007D5B2F">
            <w:pPr>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2.投标人具有CCRC（信息系统安全集成服务证书），得2分，</w:t>
            </w:r>
            <w:r>
              <w:rPr>
                <w:rFonts w:hint="default" w:ascii="宋体" w:hAnsi="宋体" w:eastAsia="宋体" w:cs="宋体"/>
                <w:color w:val="auto"/>
                <w:kern w:val="2"/>
                <w:sz w:val="21"/>
                <w:szCs w:val="21"/>
                <w:highlight w:val="none"/>
                <w:lang w:val="en-US" w:eastAsia="zh-CN" w:bidi="ar-SA"/>
              </w:rPr>
              <w:t>没有</w:t>
            </w:r>
            <w:r>
              <w:rPr>
                <w:rFonts w:hint="eastAsia" w:ascii="宋体" w:hAnsi="宋体" w:eastAsia="宋体" w:cs="宋体"/>
                <w:color w:val="auto"/>
                <w:kern w:val="2"/>
                <w:sz w:val="21"/>
                <w:szCs w:val="21"/>
                <w:highlight w:val="none"/>
                <w:lang w:val="en-US" w:eastAsia="zh-CN" w:bidi="ar-SA"/>
              </w:rPr>
              <w:t>不得分。</w:t>
            </w:r>
          </w:p>
          <w:p w14:paraId="7681A7E6">
            <w:pPr>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3.投标人具有CCRC（信息</w:t>
            </w:r>
            <w:r>
              <w:rPr>
                <w:rFonts w:hint="default" w:ascii="宋体" w:hAnsi="宋体" w:eastAsia="宋体" w:cs="宋体"/>
                <w:color w:val="auto"/>
                <w:kern w:val="2"/>
                <w:sz w:val="21"/>
                <w:szCs w:val="21"/>
                <w:highlight w:val="none"/>
                <w:lang w:val="en-US" w:eastAsia="zh-CN" w:bidi="ar-SA"/>
              </w:rPr>
              <w:t>系统</w:t>
            </w:r>
            <w:r>
              <w:rPr>
                <w:rFonts w:hint="eastAsia" w:ascii="宋体" w:hAnsi="宋体" w:eastAsia="宋体" w:cs="宋体"/>
                <w:color w:val="auto"/>
                <w:kern w:val="2"/>
                <w:sz w:val="21"/>
                <w:szCs w:val="21"/>
                <w:highlight w:val="none"/>
                <w:lang w:val="en-US" w:eastAsia="zh-CN" w:bidi="ar-SA"/>
              </w:rPr>
              <w:t>安全</w:t>
            </w:r>
            <w:r>
              <w:rPr>
                <w:rFonts w:hint="default" w:ascii="宋体" w:hAnsi="宋体" w:eastAsia="宋体" w:cs="宋体"/>
                <w:color w:val="auto"/>
                <w:kern w:val="2"/>
                <w:sz w:val="21"/>
                <w:szCs w:val="21"/>
                <w:highlight w:val="none"/>
                <w:lang w:val="en-US" w:eastAsia="zh-CN" w:bidi="ar-SA"/>
              </w:rPr>
              <w:t>软件开发服务</w:t>
            </w:r>
            <w:r>
              <w:rPr>
                <w:rFonts w:hint="eastAsia" w:ascii="宋体" w:hAnsi="宋体" w:eastAsia="宋体" w:cs="宋体"/>
                <w:color w:val="auto"/>
                <w:kern w:val="2"/>
                <w:sz w:val="21"/>
                <w:szCs w:val="21"/>
                <w:highlight w:val="none"/>
                <w:lang w:val="en-US" w:eastAsia="zh-CN" w:bidi="ar-SA"/>
              </w:rPr>
              <w:t>证书），得2分，</w:t>
            </w:r>
            <w:r>
              <w:rPr>
                <w:rFonts w:hint="default" w:ascii="宋体" w:hAnsi="宋体" w:eastAsia="宋体" w:cs="宋体"/>
                <w:color w:val="auto"/>
                <w:kern w:val="2"/>
                <w:sz w:val="21"/>
                <w:szCs w:val="21"/>
                <w:highlight w:val="none"/>
                <w:lang w:val="en-US" w:eastAsia="zh-CN" w:bidi="ar-SA"/>
              </w:rPr>
              <w:t>没有</w:t>
            </w:r>
            <w:r>
              <w:rPr>
                <w:rFonts w:hint="eastAsia" w:ascii="宋体" w:hAnsi="宋体" w:eastAsia="宋体" w:cs="宋体"/>
                <w:color w:val="auto"/>
                <w:kern w:val="2"/>
                <w:sz w:val="21"/>
                <w:szCs w:val="21"/>
                <w:highlight w:val="none"/>
                <w:lang w:val="en-US" w:eastAsia="zh-CN" w:bidi="ar-SA"/>
              </w:rPr>
              <w:t>不得分。</w:t>
            </w:r>
          </w:p>
          <w:p w14:paraId="1863D4C0">
            <w:pPr>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 投标人同时具备有效的质量管理体系认证、环境管理体系认证、职业健康安全管理体系认证、信息安全管理体系认证</w:t>
            </w:r>
            <w:r>
              <w:rPr>
                <w:rFonts w:hint="default" w:ascii="宋体" w:hAnsi="宋体" w:eastAsia="宋体" w:cs="宋体"/>
                <w:color w:val="auto"/>
                <w:kern w:val="2"/>
                <w:sz w:val="21"/>
                <w:szCs w:val="21"/>
                <w:highlight w:val="none"/>
                <w:lang w:val="en-US" w:eastAsia="zh-CN" w:bidi="ar-SA"/>
              </w:rPr>
              <w:t>、个人可识别信息保护管理体系认证、隐私信息管理体系</w:t>
            </w:r>
            <w:r>
              <w:rPr>
                <w:rFonts w:hint="eastAsia" w:ascii="宋体" w:hAnsi="宋体" w:eastAsia="宋体" w:cs="宋体"/>
                <w:color w:val="auto"/>
                <w:kern w:val="2"/>
                <w:sz w:val="21"/>
                <w:szCs w:val="21"/>
                <w:highlight w:val="none"/>
                <w:lang w:val="en-US" w:eastAsia="zh-CN" w:bidi="ar-SA"/>
              </w:rPr>
              <w:t>得</w:t>
            </w:r>
            <w:r>
              <w:rPr>
                <w:rFonts w:hint="default"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eastAsia="zh-CN" w:bidi="ar-SA"/>
              </w:rPr>
              <w:t>2分，每缺少一项扣2分，扣完为止。</w:t>
            </w:r>
          </w:p>
          <w:p w14:paraId="71AC1F44">
            <w:pPr>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注：以上证明材料需提供证书原件扫描件并加盖投标人公章，不提供不得分。</w:t>
            </w:r>
          </w:p>
        </w:tc>
      </w:tr>
      <w:tr w14:paraId="1CF4A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547" w:type="pct"/>
            <w:vMerge w:val="continue"/>
            <w:noWrap w:val="0"/>
            <w:vAlign w:val="center"/>
          </w:tcPr>
          <w:p w14:paraId="27B2B7DB">
            <w:pPr>
              <w:jc w:val="center"/>
              <w:rPr>
                <w:rFonts w:ascii="宋体" w:hAnsi="宋体"/>
                <w:color w:val="auto"/>
                <w:szCs w:val="21"/>
                <w:highlight w:val="none"/>
              </w:rPr>
            </w:pPr>
          </w:p>
        </w:tc>
        <w:tc>
          <w:tcPr>
            <w:tcW w:w="484" w:type="pct"/>
            <w:noWrap w:val="0"/>
            <w:vAlign w:val="center"/>
          </w:tcPr>
          <w:p w14:paraId="5F084050">
            <w:pPr>
              <w:jc w:val="center"/>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项目团队</w:t>
            </w:r>
          </w:p>
        </w:tc>
        <w:tc>
          <w:tcPr>
            <w:tcW w:w="387" w:type="pct"/>
            <w:noWrap w:val="0"/>
            <w:vAlign w:val="center"/>
          </w:tcPr>
          <w:p w14:paraId="3A684B43">
            <w:pPr>
              <w:jc w:val="center"/>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10</w:t>
            </w:r>
          </w:p>
        </w:tc>
        <w:tc>
          <w:tcPr>
            <w:tcW w:w="3581" w:type="pct"/>
            <w:noWrap w:val="0"/>
            <w:vAlign w:val="center"/>
          </w:tcPr>
          <w:p w14:paraId="05104384">
            <w:pPr>
              <w:jc w:val="left"/>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投标人派驻的项目经理具备省级及以上人力资源和社会保障部门颁发的高级信息系统项目管理师证书的得</w:t>
            </w:r>
            <w:r>
              <w:rPr>
                <w:rFonts w:hint="eastAsia" w:ascii="宋体" w:hAnsi="宋体" w:eastAsia="宋体" w:cs="宋体"/>
                <w:color w:val="auto"/>
                <w:sz w:val="20"/>
                <w:szCs w:val="21"/>
                <w:highlight w:val="none"/>
                <w:lang w:val="en-US" w:eastAsia="zh-CN"/>
              </w:rPr>
              <w:t>2</w:t>
            </w:r>
            <w:r>
              <w:rPr>
                <w:rFonts w:hint="eastAsia" w:ascii="宋体" w:hAnsi="宋体" w:eastAsia="宋体" w:cs="宋体"/>
                <w:color w:val="auto"/>
                <w:sz w:val="20"/>
                <w:szCs w:val="21"/>
                <w:highlight w:val="none"/>
              </w:rPr>
              <w:t>分，否则不得分。</w:t>
            </w:r>
          </w:p>
          <w:p w14:paraId="00D2C090">
            <w:pPr>
              <w:jc w:val="left"/>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投标人派驻的实施团队成员具备省级及以上人力资源和社会保障部门颁发的中级以上计算机类证书，每个得2分，最高得6分。</w:t>
            </w:r>
          </w:p>
          <w:p w14:paraId="445CBE99">
            <w:pPr>
              <w:jc w:val="left"/>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注：须提供以上人员相关证书及投标人为其缴纳近</w:t>
            </w:r>
            <w:r>
              <w:rPr>
                <w:rFonts w:hint="eastAsia" w:ascii="宋体" w:hAnsi="宋体" w:eastAsia="宋体" w:cs="宋体"/>
                <w:color w:val="auto"/>
                <w:sz w:val="20"/>
                <w:szCs w:val="21"/>
                <w:highlight w:val="none"/>
                <w:lang w:val="en-US" w:eastAsia="zh-CN"/>
              </w:rPr>
              <w:t>6</w:t>
            </w:r>
            <w:r>
              <w:rPr>
                <w:rFonts w:hint="eastAsia" w:ascii="宋体" w:hAnsi="宋体" w:eastAsia="宋体" w:cs="宋体"/>
                <w:color w:val="auto"/>
                <w:sz w:val="20"/>
                <w:szCs w:val="21"/>
                <w:highlight w:val="none"/>
              </w:rPr>
              <w:t>个月内</w:t>
            </w:r>
            <w:r>
              <w:rPr>
                <w:rFonts w:hint="eastAsia" w:ascii="宋体" w:hAnsi="宋体" w:eastAsia="宋体" w:cs="宋体"/>
                <w:color w:val="auto"/>
                <w:sz w:val="20"/>
                <w:szCs w:val="21"/>
                <w:highlight w:val="none"/>
                <w:lang w:val="en-US" w:eastAsia="zh-CN"/>
              </w:rPr>
              <w:t>连续3个月</w:t>
            </w:r>
            <w:r>
              <w:rPr>
                <w:rFonts w:hint="eastAsia" w:ascii="宋体" w:hAnsi="宋体" w:eastAsia="宋体" w:cs="宋体"/>
                <w:color w:val="auto"/>
                <w:sz w:val="20"/>
                <w:szCs w:val="21"/>
                <w:highlight w:val="none"/>
              </w:rPr>
              <w:t>的社会保险证明扫描件。依法免税或不需要缴纳社会保障资金的供应商，应提供相应证明文件，新成立的公司从成立之日起</w:t>
            </w:r>
          </w:p>
          <w:p w14:paraId="79A23DAF">
            <w:pPr>
              <w:jc w:val="left"/>
              <w:rPr>
                <w:rFonts w:hint="eastAsia" w:ascii="宋体" w:hAnsi="宋体" w:eastAsia="宋体" w:cs="宋体"/>
                <w:color w:val="auto"/>
                <w:sz w:val="20"/>
                <w:szCs w:val="21"/>
                <w:highlight w:val="none"/>
                <w:lang w:eastAsia="zh-CN"/>
              </w:rPr>
            </w:pPr>
            <w:r>
              <w:rPr>
                <w:rFonts w:hint="eastAsia" w:ascii="宋体" w:hAnsi="宋体" w:eastAsia="宋体" w:cs="宋体"/>
                <w:color w:val="auto"/>
                <w:sz w:val="20"/>
                <w:szCs w:val="21"/>
                <w:highlight w:val="none"/>
              </w:rPr>
              <w:t>提供人员配备方案的得</w:t>
            </w:r>
            <w:r>
              <w:rPr>
                <w:rFonts w:hint="eastAsia" w:ascii="宋体" w:hAnsi="宋体" w:eastAsia="宋体" w:cs="宋体"/>
                <w:color w:val="auto"/>
                <w:sz w:val="20"/>
                <w:szCs w:val="21"/>
                <w:highlight w:val="none"/>
                <w:lang w:val="en-US" w:eastAsia="zh-CN"/>
              </w:rPr>
              <w:t>2</w:t>
            </w:r>
            <w:r>
              <w:rPr>
                <w:rFonts w:hint="eastAsia" w:ascii="宋体" w:hAnsi="宋体" w:eastAsia="宋体" w:cs="宋体"/>
                <w:color w:val="auto"/>
                <w:sz w:val="20"/>
                <w:szCs w:val="21"/>
                <w:highlight w:val="none"/>
              </w:rPr>
              <w:t>分</w:t>
            </w:r>
            <w:r>
              <w:rPr>
                <w:rFonts w:hint="eastAsia" w:ascii="宋体" w:hAnsi="宋体" w:eastAsia="宋体" w:cs="宋体"/>
                <w:color w:val="auto"/>
                <w:sz w:val="20"/>
                <w:szCs w:val="21"/>
                <w:highlight w:val="none"/>
                <w:lang w:eastAsia="zh-CN"/>
              </w:rPr>
              <w:t>，</w:t>
            </w:r>
            <w:r>
              <w:rPr>
                <w:rFonts w:hint="eastAsia" w:ascii="宋体" w:hAnsi="宋体" w:eastAsia="宋体" w:cs="宋体"/>
                <w:color w:val="auto"/>
                <w:sz w:val="20"/>
                <w:szCs w:val="21"/>
                <w:highlight w:val="none"/>
              </w:rPr>
              <w:t>不提供不得分。</w:t>
            </w:r>
          </w:p>
        </w:tc>
      </w:tr>
      <w:tr w14:paraId="51D5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jc w:val="center"/>
        </w:trPr>
        <w:tc>
          <w:tcPr>
            <w:tcW w:w="547" w:type="pct"/>
            <w:vMerge w:val="continue"/>
            <w:noWrap w:val="0"/>
            <w:vAlign w:val="center"/>
          </w:tcPr>
          <w:p w14:paraId="60CC9049">
            <w:pPr>
              <w:jc w:val="center"/>
              <w:rPr>
                <w:rFonts w:ascii="宋体" w:hAnsi="宋体"/>
                <w:color w:val="auto"/>
                <w:szCs w:val="21"/>
                <w:highlight w:val="none"/>
              </w:rPr>
            </w:pPr>
          </w:p>
        </w:tc>
        <w:tc>
          <w:tcPr>
            <w:tcW w:w="484" w:type="pct"/>
            <w:noWrap w:val="0"/>
            <w:vAlign w:val="center"/>
          </w:tcPr>
          <w:p w14:paraId="3C41FDC3">
            <w:pPr>
              <w:jc w:val="center"/>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业绩证明</w:t>
            </w:r>
          </w:p>
        </w:tc>
        <w:tc>
          <w:tcPr>
            <w:tcW w:w="387" w:type="pct"/>
            <w:noWrap w:val="0"/>
            <w:vAlign w:val="center"/>
          </w:tcPr>
          <w:p w14:paraId="5F7D4698">
            <w:pPr>
              <w:jc w:val="center"/>
              <w:rPr>
                <w:rFonts w:hint="eastAsia" w:ascii="宋体" w:hAnsi="宋体" w:eastAsia="宋体" w:cs="宋体"/>
                <w:color w:val="auto"/>
                <w:sz w:val="20"/>
                <w:szCs w:val="21"/>
                <w:highlight w:val="none"/>
                <w:lang w:eastAsia="zh-CN"/>
              </w:rPr>
            </w:pPr>
            <w:r>
              <w:rPr>
                <w:rFonts w:hint="eastAsia" w:ascii="宋体" w:hAnsi="宋体" w:cs="宋体"/>
                <w:color w:val="auto"/>
                <w:sz w:val="20"/>
                <w:szCs w:val="21"/>
                <w:highlight w:val="none"/>
                <w:lang w:val="en-US" w:eastAsia="zh-CN"/>
              </w:rPr>
              <w:t>2</w:t>
            </w:r>
          </w:p>
        </w:tc>
        <w:tc>
          <w:tcPr>
            <w:tcW w:w="3581" w:type="pct"/>
            <w:noWrap w:val="0"/>
            <w:vAlign w:val="center"/>
          </w:tcPr>
          <w:p w14:paraId="0232A1E3">
            <w:pPr>
              <w:jc w:val="left"/>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投标人自2024年1月1日（含）至本项目公告发布之日签订的同类政务服务信息化合同（以合同签订时间为准），每提供一份得</w:t>
            </w:r>
            <w:r>
              <w:rPr>
                <w:rFonts w:hint="eastAsia" w:ascii="宋体" w:hAnsi="宋体" w:cs="宋体"/>
                <w:color w:val="auto"/>
                <w:sz w:val="20"/>
                <w:szCs w:val="21"/>
                <w:highlight w:val="none"/>
                <w:lang w:val="en-US" w:eastAsia="zh-CN"/>
              </w:rPr>
              <w:t>1</w:t>
            </w:r>
            <w:r>
              <w:rPr>
                <w:rFonts w:hint="eastAsia" w:ascii="宋体" w:hAnsi="宋体" w:eastAsia="宋体" w:cs="宋体"/>
                <w:color w:val="auto"/>
                <w:sz w:val="20"/>
                <w:szCs w:val="21"/>
                <w:highlight w:val="none"/>
              </w:rPr>
              <w:t>分，最高得</w:t>
            </w:r>
            <w:r>
              <w:rPr>
                <w:rFonts w:hint="eastAsia" w:ascii="宋体" w:hAnsi="宋体" w:cs="宋体"/>
                <w:color w:val="auto"/>
                <w:sz w:val="20"/>
                <w:szCs w:val="21"/>
                <w:highlight w:val="none"/>
                <w:lang w:val="en-US" w:eastAsia="zh-CN"/>
              </w:rPr>
              <w:t>2</w:t>
            </w:r>
            <w:r>
              <w:rPr>
                <w:rFonts w:hint="eastAsia" w:ascii="宋体" w:hAnsi="宋体" w:eastAsia="宋体" w:cs="宋体"/>
                <w:color w:val="auto"/>
                <w:sz w:val="20"/>
                <w:szCs w:val="21"/>
                <w:highlight w:val="none"/>
              </w:rPr>
              <w:t>分。</w:t>
            </w:r>
          </w:p>
          <w:p w14:paraId="1EBE361B">
            <w:pPr>
              <w:jc w:val="left"/>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注：以上业绩证明材料需提供中标通知书、合同复印件或扫描件并加盖投标人公章，不提供不得分。</w:t>
            </w:r>
          </w:p>
        </w:tc>
      </w:tr>
      <w:tr w14:paraId="0654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547" w:type="pct"/>
            <w:vMerge w:val="restart"/>
            <w:noWrap w:val="0"/>
            <w:vAlign w:val="center"/>
          </w:tcPr>
          <w:p w14:paraId="0B9D68AE">
            <w:pPr>
              <w:jc w:val="center"/>
              <w:rPr>
                <w:rFonts w:hint="eastAsia" w:ascii="宋体" w:hAnsi="宋体"/>
                <w:color w:val="auto"/>
                <w:szCs w:val="21"/>
                <w:highlight w:val="none"/>
              </w:rPr>
            </w:pPr>
            <w:r>
              <w:rPr>
                <w:rFonts w:hint="eastAsia" w:ascii="宋体" w:hAnsi="宋体"/>
                <w:color w:val="auto"/>
                <w:szCs w:val="21"/>
                <w:highlight w:val="none"/>
              </w:rPr>
              <w:t>技术部分</w:t>
            </w:r>
            <w:r>
              <w:rPr>
                <w:rFonts w:ascii="宋体" w:hAnsi="宋体"/>
                <w:color w:val="auto"/>
                <w:szCs w:val="21"/>
                <w:highlight w:val="none"/>
              </w:rPr>
              <w:t>60</w:t>
            </w:r>
            <w:r>
              <w:rPr>
                <w:rFonts w:hint="eastAsia" w:ascii="宋体" w:hAnsi="宋体"/>
                <w:color w:val="auto"/>
                <w:szCs w:val="21"/>
                <w:highlight w:val="none"/>
              </w:rPr>
              <w:t>分</w:t>
            </w:r>
          </w:p>
        </w:tc>
        <w:tc>
          <w:tcPr>
            <w:tcW w:w="1068" w:type="dxa"/>
            <w:noWrap w:val="0"/>
            <w:vAlign w:val="center"/>
          </w:tcPr>
          <w:p w14:paraId="049EC31F">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技术参数</w:t>
            </w:r>
          </w:p>
        </w:tc>
        <w:tc>
          <w:tcPr>
            <w:tcW w:w="854" w:type="dxa"/>
            <w:noWrap w:val="0"/>
            <w:vAlign w:val="center"/>
          </w:tcPr>
          <w:p w14:paraId="5CA29D03">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20</w:t>
            </w:r>
          </w:p>
        </w:tc>
        <w:tc>
          <w:tcPr>
            <w:tcW w:w="7902" w:type="dxa"/>
            <w:noWrap w:val="0"/>
            <w:vAlign w:val="center"/>
          </w:tcPr>
          <w:p w14:paraId="000DA5C8">
            <w:pPr>
              <w:spacing w:line="360" w:lineRule="auto"/>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满足招标文件中全部参数要求，得基本分20分；招标文件技术参数每有一项负偏离在基本分基础上扣2分</w:t>
            </w:r>
          </w:p>
        </w:tc>
      </w:tr>
      <w:tr w14:paraId="632E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47" w:type="pct"/>
            <w:vMerge w:val="continue"/>
            <w:noWrap w:val="0"/>
            <w:vAlign w:val="center"/>
          </w:tcPr>
          <w:p w14:paraId="1EEC0B35">
            <w:pPr>
              <w:jc w:val="center"/>
              <w:rPr>
                <w:rFonts w:ascii="宋体" w:hAnsi="宋体"/>
                <w:color w:val="auto"/>
                <w:szCs w:val="21"/>
                <w:highlight w:val="none"/>
              </w:rPr>
            </w:pPr>
          </w:p>
        </w:tc>
        <w:tc>
          <w:tcPr>
            <w:tcW w:w="1068" w:type="dxa"/>
            <w:noWrap w:val="0"/>
            <w:vAlign w:val="center"/>
          </w:tcPr>
          <w:p w14:paraId="247E706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整体架构设计</w:t>
            </w:r>
          </w:p>
        </w:tc>
        <w:tc>
          <w:tcPr>
            <w:tcW w:w="854" w:type="dxa"/>
            <w:noWrap w:val="0"/>
            <w:vAlign w:val="center"/>
          </w:tcPr>
          <w:p w14:paraId="36D3024E">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15</w:t>
            </w:r>
          </w:p>
        </w:tc>
        <w:tc>
          <w:tcPr>
            <w:tcW w:w="7902" w:type="dxa"/>
            <w:noWrap w:val="0"/>
            <w:vAlign w:val="center"/>
          </w:tcPr>
          <w:p w14:paraId="30543A6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对投标文件中的项目总体架构、技术架构、数据结构设计、数据库设计、安全性设计等：提供得15分，缺一项扣3分，不提供不得分。</w:t>
            </w:r>
          </w:p>
        </w:tc>
      </w:tr>
      <w:tr w14:paraId="7A896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547" w:type="pct"/>
            <w:vMerge w:val="continue"/>
            <w:noWrap w:val="0"/>
            <w:vAlign w:val="center"/>
          </w:tcPr>
          <w:p w14:paraId="5EB3E38D">
            <w:pPr>
              <w:jc w:val="center"/>
              <w:rPr>
                <w:rFonts w:ascii="宋体" w:hAnsi="宋体"/>
                <w:color w:val="auto"/>
                <w:szCs w:val="21"/>
                <w:highlight w:val="none"/>
              </w:rPr>
            </w:pPr>
          </w:p>
        </w:tc>
        <w:tc>
          <w:tcPr>
            <w:tcW w:w="1068" w:type="dxa"/>
            <w:noWrap w:val="0"/>
            <w:vAlign w:val="center"/>
          </w:tcPr>
          <w:p w14:paraId="6B135A0D">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施工组织方案</w:t>
            </w:r>
          </w:p>
        </w:tc>
        <w:tc>
          <w:tcPr>
            <w:tcW w:w="854" w:type="dxa"/>
            <w:noWrap w:val="0"/>
            <w:vAlign w:val="center"/>
          </w:tcPr>
          <w:p w14:paraId="6385A48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15</w:t>
            </w:r>
          </w:p>
        </w:tc>
        <w:tc>
          <w:tcPr>
            <w:tcW w:w="7902" w:type="dxa"/>
            <w:noWrap w:val="0"/>
            <w:vAlign w:val="center"/>
          </w:tcPr>
          <w:p w14:paraId="594E029D">
            <w:pPr>
              <w:pStyle w:val="21"/>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1.进度保障措施：提供项目进度安排包含（不限于）：开发工作计划、有明确的时间节点得5分，不提供不得分；</w:t>
            </w:r>
          </w:p>
          <w:p w14:paraId="20F7C917">
            <w:pPr>
              <w:pStyle w:val="21"/>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2.质量保障措施：针对本项目提出的质量保障措施，进行评审打分：提供得5分，不提供不得分；</w:t>
            </w:r>
          </w:p>
          <w:p w14:paraId="3BFA8869">
            <w:pPr>
              <w:pStyle w:val="12"/>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3.安全保障措施：针对本项目提出的安全保障措施，进行评审打分：提供得5分，不提供不得分；</w:t>
            </w:r>
          </w:p>
        </w:tc>
      </w:tr>
      <w:tr w14:paraId="0B6E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547" w:type="pct"/>
            <w:vMerge w:val="continue"/>
            <w:noWrap w:val="0"/>
            <w:vAlign w:val="center"/>
          </w:tcPr>
          <w:p w14:paraId="6289F921">
            <w:pPr>
              <w:jc w:val="center"/>
              <w:rPr>
                <w:rFonts w:ascii="宋体" w:hAnsi="宋体"/>
                <w:color w:val="auto"/>
                <w:szCs w:val="21"/>
                <w:highlight w:val="none"/>
              </w:rPr>
            </w:pPr>
          </w:p>
        </w:tc>
        <w:tc>
          <w:tcPr>
            <w:tcW w:w="1068" w:type="dxa"/>
            <w:noWrap w:val="0"/>
            <w:vAlign w:val="center"/>
          </w:tcPr>
          <w:p w14:paraId="47FD5EF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售后服务方案</w:t>
            </w:r>
          </w:p>
        </w:tc>
        <w:tc>
          <w:tcPr>
            <w:tcW w:w="854" w:type="dxa"/>
            <w:noWrap w:val="0"/>
            <w:vAlign w:val="center"/>
          </w:tcPr>
          <w:p w14:paraId="4CB25F5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w:t>
            </w:r>
          </w:p>
        </w:tc>
        <w:tc>
          <w:tcPr>
            <w:tcW w:w="7902" w:type="dxa"/>
            <w:noWrap w:val="0"/>
            <w:vAlign w:val="center"/>
          </w:tcPr>
          <w:p w14:paraId="42C70F90">
            <w:pPr>
              <w:numPr>
                <w:ilvl w:val="0"/>
                <w:numId w:val="0"/>
              </w:numPr>
              <w:spacing w:line="360" w:lineRule="auto"/>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投标人针对本项目提供的服务方案进行综合评比，方案内容包含但不限于：①售后服务方案、②服务响应及故障处理、③产品应急预案、④售后服务承诺、⑤培训方案，从以上5个方面进行评审，每提供1个得2分，最多得10分，未提供不得分。</w:t>
            </w:r>
          </w:p>
        </w:tc>
      </w:tr>
      <w:tr w14:paraId="2630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031" w:type="pct"/>
            <w:gridSpan w:val="2"/>
            <w:noWrap w:val="0"/>
            <w:vAlign w:val="center"/>
          </w:tcPr>
          <w:p w14:paraId="576B0B4D">
            <w:pPr>
              <w:jc w:val="center"/>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总分</w:t>
            </w:r>
          </w:p>
        </w:tc>
        <w:tc>
          <w:tcPr>
            <w:tcW w:w="387" w:type="pct"/>
            <w:noWrap w:val="0"/>
            <w:vAlign w:val="center"/>
          </w:tcPr>
          <w:p w14:paraId="1C85D2E1">
            <w:pPr>
              <w:jc w:val="center"/>
              <w:rPr>
                <w:rFonts w:hint="eastAsia" w:ascii="宋体" w:hAnsi="宋体" w:eastAsia="宋体" w:cs="宋体"/>
                <w:color w:val="auto"/>
                <w:sz w:val="20"/>
                <w:szCs w:val="21"/>
                <w:highlight w:val="none"/>
              </w:rPr>
            </w:pPr>
            <w:r>
              <w:rPr>
                <w:rFonts w:hint="eastAsia" w:ascii="宋体" w:hAnsi="宋体" w:eastAsia="宋体" w:cs="宋体"/>
                <w:color w:val="auto"/>
                <w:sz w:val="20"/>
                <w:szCs w:val="21"/>
                <w:highlight w:val="none"/>
              </w:rPr>
              <w:t>100</w:t>
            </w:r>
          </w:p>
        </w:tc>
        <w:tc>
          <w:tcPr>
            <w:tcW w:w="3581" w:type="pct"/>
            <w:noWrap w:val="0"/>
            <w:vAlign w:val="center"/>
          </w:tcPr>
          <w:p w14:paraId="0FB4C6D2">
            <w:pPr>
              <w:jc w:val="center"/>
              <w:rPr>
                <w:rFonts w:hint="eastAsia" w:ascii="宋体" w:hAnsi="宋体" w:eastAsia="宋体" w:cs="宋体"/>
                <w:color w:val="auto"/>
                <w:sz w:val="20"/>
                <w:szCs w:val="21"/>
                <w:highlight w:val="none"/>
              </w:rPr>
            </w:pPr>
          </w:p>
        </w:tc>
      </w:tr>
    </w:tbl>
    <w:p w14:paraId="41580629">
      <w:pPr>
        <w:pStyle w:val="19"/>
        <w:spacing w:before="0" w:beforeAutospacing="0" w:after="0" w:afterAutospacing="0"/>
        <w:contextualSpacing/>
        <w:jc w:val="center"/>
        <w:rPr>
          <w:rFonts w:hint="eastAsia" w:ascii="宋体" w:hAnsi="宋体" w:eastAsia="宋体" w:cs="宋体"/>
          <w:color w:val="auto"/>
          <w:sz w:val="32"/>
          <w:szCs w:val="32"/>
          <w:highlight w:val="none"/>
        </w:rPr>
      </w:pPr>
    </w:p>
    <w:p w14:paraId="6F71EAD7">
      <w:pPr>
        <w:pStyle w:val="11"/>
        <w:spacing w:line="360" w:lineRule="auto"/>
        <w:ind w:right="-10" w:firstLine="482" w:firstLineChars="200"/>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注：评标结束后，由采购人对评审结果及响应文件等进行复核，并在法定的时间内确定中标人。</w:t>
      </w:r>
    </w:p>
    <w:p w14:paraId="58F86612">
      <w:pPr>
        <w:adjustRightInd w:val="0"/>
        <w:snapToGrid w:val="0"/>
        <w:spacing w:line="360" w:lineRule="auto"/>
        <w:ind w:right="-1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5A5C57ED">
      <w:pPr>
        <w:adjustRightInd w:val="0"/>
        <w:snapToGrid w:val="0"/>
        <w:spacing w:line="360" w:lineRule="auto"/>
        <w:ind w:right="-1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39FB0720">
      <w:pPr>
        <w:pStyle w:val="11"/>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评委独立评审后，评委会对投标人某项指标如有不同意见，按照少数服从多数的原则，确定该项指标是否通过。</w:t>
      </w:r>
    </w:p>
    <w:p w14:paraId="7BF819D8">
      <w:pPr>
        <w:spacing w:line="360" w:lineRule="auto"/>
        <w:ind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第十一条</w:t>
      </w:r>
      <w:r>
        <w:rPr>
          <w:rFonts w:hint="eastAsia" w:ascii="宋体" w:hAnsi="宋体" w:eastAsia="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50AE5901">
      <w:pPr>
        <w:pStyle w:val="11"/>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552AE68E">
      <w:pPr>
        <w:adjustRightInd w:val="0"/>
        <w:snapToGrid w:val="0"/>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第十三条</w:t>
      </w:r>
      <w:r>
        <w:rPr>
          <w:rFonts w:hint="eastAsia" w:ascii="宋体" w:hAnsi="宋体" w:eastAsia="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71381B9A">
      <w:pPr>
        <w:rPr>
          <w:rFonts w:hint="eastAsia" w:ascii="宋体" w:hAnsi="宋体" w:eastAsia="宋体" w:cs="宋体"/>
          <w:color w:val="auto"/>
          <w:highlight w:val="none"/>
        </w:rPr>
      </w:pPr>
    </w:p>
    <w:p w14:paraId="530F8BA9">
      <w:pPr>
        <w:adjustRightInd w:val="0"/>
        <w:snapToGrid w:val="0"/>
        <w:spacing w:line="360" w:lineRule="auto"/>
        <w:jc w:val="center"/>
        <w:rPr>
          <w:rFonts w:hint="eastAsia" w:ascii="宋体" w:hAnsi="宋体" w:eastAsia="宋体" w:cs="宋体"/>
          <w:b/>
          <w:bCs/>
          <w:color w:val="auto"/>
          <w:sz w:val="24"/>
          <w:highlight w:val="none"/>
        </w:rPr>
      </w:pPr>
      <w:bookmarkStart w:id="56" w:name="_Toc40_WPSOffice_Level2"/>
      <w:r>
        <w:rPr>
          <w:rFonts w:hint="eastAsia" w:ascii="宋体" w:hAnsi="宋体" w:eastAsia="宋体" w:cs="宋体"/>
          <w:b/>
          <w:bCs/>
          <w:color w:val="auto"/>
          <w:sz w:val="24"/>
          <w:highlight w:val="none"/>
        </w:rPr>
        <w:t>三．评标纪律</w:t>
      </w:r>
      <w:bookmarkEnd w:id="56"/>
    </w:p>
    <w:p w14:paraId="41E652EE">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第十四条</w:t>
      </w:r>
      <w:r>
        <w:rPr>
          <w:rFonts w:hint="eastAsia" w:ascii="宋体" w:hAnsi="宋体" w:eastAsia="宋体" w:cs="宋体"/>
          <w:bCs/>
          <w:color w:val="auto"/>
          <w:sz w:val="24"/>
          <w:highlight w:val="none"/>
        </w:rPr>
        <w:t xml:space="preserve"> 评委会和评标工作人员应严格遵守国家的法律、法规和规章制度；</w:t>
      </w:r>
      <w:r>
        <w:rPr>
          <w:rFonts w:hint="eastAsia" w:ascii="宋体" w:hAnsi="宋体" w:eastAsia="宋体" w:cs="宋体"/>
          <w:color w:val="auto"/>
          <w:sz w:val="24"/>
          <w:highlight w:val="none"/>
        </w:rPr>
        <w:t>严格按照本次招标文件进行评标；公正廉洁、不徇私情，不得损害国家利益；保护招、投标人的合法权益。</w:t>
      </w:r>
    </w:p>
    <w:p w14:paraId="00C5CE11">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 xml:space="preserve">第十五条 </w:t>
      </w:r>
      <w:r>
        <w:rPr>
          <w:rFonts w:hint="eastAsia" w:ascii="宋体" w:hAnsi="宋体" w:eastAsia="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022B2DB4">
      <w:pPr>
        <w:spacing w:line="360" w:lineRule="auto"/>
        <w:ind w:firstLine="482" w:firstLineChars="200"/>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第十六条</w:t>
      </w:r>
      <w:r>
        <w:rPr>
          <w:rFonts w:hint="eastAsia" w:ascii="宋体" w:hAnsi="宋体" w:eastAsia="宋体" w:cs="宋体"/>
          <w:color w:val="auto"/>
          <w:sz w:val="24"/>
          <w:highlight w:val="none"/>
        </w:rPr>
        <w:t xml:space="preserve"> 在招标采购中，出现下列情形之一的，应予废标：</w:t>
      </w:r>
    </w:p>
    <w:p w14:paraId="0A59CD8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1.出现影响采购公正的违法、违规行为的。</w:t>
      </w:r>
    </w:p>
    <w:p w14:paraId="077A640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2.投标时有弄虚作假的行为。</w:t>
      </w:r>
    </w:p>
    <w:p w14:paraId="4519208E">
      <w:pPr>
        <w:spacing w:line="360" w:lineRule="auto"/>
        <w:ind w:firstLine="475" w:firstLineChars="197"/>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第十七条 </w:t>
      </w:r>
      <w:r>
        <w:rPr>
          <w:rFonts w:hint="eastAsia" w:ascii="宋体" w:hAnsi="宋体" w:eastAsia="宋体" w:cs="宋体"/>
          <w:color w:val="auto"/>
          <w:sz w:val="24"/>
          <w:highlight w:val="none"/>
        </w:rPr>
        <w:t>在投标过程中，出现下列情况之一的，按照无效投标处理：</w:t>
      </w:r>
    </w:p>
    <w:p w14:paraId="54DE4DC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1.未按照招标文件规定要求签署、签章的</w:t>
      </w:r>
      <w:r>
        <w:rPr>
          <w:rFonts w:hint="eastAsia" w:ascii="宋体" w:hAnsi="宋体" w:eastAsia="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3F45689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2.不具备招标文件中规定资格要求的；</w:t>
      </w:r>
    </w:p>
    <w:p w14:paraId="07A7A1F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3.不符合法律、法规和招标文件中规定的其他实质性要求的。</w:t>
      </w:r>
    </w:p>
    <w:p w14:paraId="2BF15CA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4.投标人的报价超过了采购预算，采购人不能支付的；</w:t>
      </w:r>
    </w:p>
    <w:p w14:paraId="6961298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5.投标文件附有招标人不能接受的条件；</w:t>
      </w:r>
    </w:p>
    <w:p w14:paraId="5BA7985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6.投标文件中对同一服务或标段提供选择性报价的；</w:t>
      </w:r>
    </w:p>
    <w:p w14:paraId="7FB2DA6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7.商务偏差表或技术偏差表存在弄虚作假的；</w:t>
      </w:r>
    </w:p>
    <w:p w14:paraId="22F9733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8.不同供应商的电子投标（响应）文件上传计算机的网卡 MAC 地址、CPU 序列号和硬盘序列号等硬件信息相同的;</w:t>
      </w:r>
    </w:p>
    <w:p w14:paraId="2B6A1A8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29BE251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891B58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不同供应商的投标（响应）文件的内容存在两处以上细节错误一致；</w:t>
      </w:r>
    </w:p>
    <w:p w14:paraId="6260A96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91EF055">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35C3109">
      <w:pPr>
        <w:spacing w:line="360" w:lineRule="auto"/>
        <w:ind w:firstLine="480" w:firstLineChars="200"/>
        <w:rPr>
          <w:rFonts w:hint="eastAsia" w:ascii="宋体" w:hAnsi="宋体" w:eastAsia="宋体" w:cs="宋体"/>
          <w:color w:val="auto"/>
          <w:sz w:val="24"/>
          <w:highlight w:val="none"/>
          <w:lang w:eastAsia="zh-CN"/>
        </w:rPr>
      </w:pPr>
      <w:bookmarkStart w:id="57" w:name="OLE_LINK6"/>
      <w:r>
        <w:rPr>
          <w:rFonts w:hint="eastAsia" w:ascii="宋体" w:hAnsi="宋体" w:eastAsia="宋体" w:cs="宋体"/>
          <w:color w:val="auto"/>
          <w:sz w:val="24"/>
          <w:highlight w:val="none"/>
          <w:lang w:val="en-US" w:eastAsia="zh-CN"/>
        </w:rPr>
        <w:t>14.被授权人未附劳动合同的</w:t>
      </w:r>
      <w:r>
        <w:rPr>
          <w:rFonts w:hint="eastAsia" w:ascii="宋体" w:hAnsi="宋体" w:eastAsia="宋体" w:cs="宋体"/>
          <w:color w:val="auto"/>
          <w:sz w:val="24"/>
          <w:highlight w:val="none"/>
          <w:lang w:eastAsia="zh-CN"/>
        </w:rPr>
        <w:t>。</w:t>
      </w:r>
    </w:p>
    <w:p w14:paraId="5C331737">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15.未提供近半年内连续三个月的已依法缴纳税收和社会保障资金的凭证（依法免税或不需要缴纳社会保障资金的供应商应提供相应证明文件）；</w:t>
      </w:r>
    </w:p>
    <w:p w14:paraId="2B5902DA">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16.</w:t>
      </w:r>
      <w:r>
        <w:rPr>
          <w:rFonts w:hint="eastAsia" w:ascii="宋体" w:hAnsi="宋体" w:eastAsia="宋体" w:cs="宋体"/>
          <w:color w:val="auto"/>
          <w:sz w:val="24"/>
          <w:highlight w:val="none"/>
        </w:rPr>
        <w:t>未提供经会计师事务所或审计机构审计的财务会计报表，包括资产负债表、现金流量表、利润表或针对本项目所开具的资信证明的。</w:t>
      </w:r>
      <w:bookmarkEnd w:id="57"/>
    </w:p>
    <w:p w14:paraId="32B8F9FC">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w:t>
      </w:r>
      <w:r>
        <w:rPr>
          <w:rFonts w:hint="eastAsia" w:ascii="宋体" w:hAnsi="宋体" w:eastAsia="宋体" w:cs="宋体"/>
          <w:b/>
          <w:bCs/>
          <w:color w:val="auto"/>
          <w:sz w:val="24"/>
          <w:highlight w:val="none"/>
        </w:rPr>
        <w:t>八</w:t>
      </w:r>
      <w:r>
        <w:rPr>
          <w:rFonts w:hint="eastAsia" w:ascii="宋体" w:hAnsi="宋体" w:eastAsia="宋体" w:cs="宋体"/>
          <w:b/>
          <w:color w:val="auto"/>
          <w:sz w:val="24"/>
          <w:highlight w:val="none"/>
        </w:rPr>
        <w:t xml:space="preserve">条 </w:t>
      </w:r>
      <w:r>
        <w:rPr>
          <w:rFonts w:hint="eastAsia" w:ascii="宋体" w:hAnsi="宋体" w:eastAsia="宋体" w:cs="宋体"/>
          <w:color w:val="auto"/>
          <w:sz w:val="24"/>
          <w:highlight w:val="none"/>
        </w:rPr>
        <w:t>在投标文件中，出现下列情形之一的，其投标有可能被拒绝：</w:t>
      </w:r>
    </w:p>
    <w:p w14:paraId="49256F6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工期不确切、不肯定的投标；</w:t>
      </w:r>
    </w:p>
    <w:p w14:paraId="155B1D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2.对售后服务、付款方式不满足招标文件要求的； </w:t>
      </w:r>
    </w:p>
    <w:p w14:paraId="014CD29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3.投标人没有实质性响应招标文件的要求和条件的；</w:t>
      </w:r>
    </w:p>
    <w:p w14:paraId="0D2F1EA5">
      <w:pPr>
        <w:tabs>
          <w:tab w:val="left" w:pos="273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4.评标委员会认为投标人的报价明显低于其他通过符合性审查投标人的报价，有可能影响产品质量或者不能诚信履约的；</w:t>
      </w:r>
      <w:r>
        <w:rPr>
          <w:rFonts w:hint="eastAsia" w:ascii="宋体" w:hAnsi="宋体" w:eastAsia="宋体" w:cs="宋体"/>
          <w:color w:val="auto"/>
          <w:sz w:val="24"/>
          <w:highlight w:val="none"/>
          <w:lang w:val="en-US" w:eastAsia="zh-CN"/>
        </w:rPr>
        <w:t>且</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书面说明</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相关证明材料；投标人不能证明其报价合理性的，评标委员会应当将其作为无效投标处理</w:t>
      </w:r>
      <w:r>
        <w:rPr>
          <w:rFonts w:hint="eastAsia" w:ascii="宋体" w:hAnsi="宋体" w:eastAsia="宋体" w:cs="宋体"/>
          <w:color w:val="auto"/>
          <w:sz w:val="24"/>
          <w:highlight w:val="none"/>
          <w:lang w:eastAsia="zh-CN"/>
        </w:rPr>
        <w:t>。</w:t>
      </w:r>
    </w:p>
    <w:p w14:paraId="71E50D94">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第十九条</w:t>
      </w:r>
      <w:r>
        <w:rPr>
          <w:rFonts w:hint="eastAsia" w:ascii="宋体" w:hAnsi="宋体" w:eastAsia="宋体" w:cs="宋体"/>
          <w:color w:val="auto"/>
          <w:sz w:val="24"/>
          <w:highlight w:val="none"/>
        </w:rPr>
        <w:t xml:space="preserve"> 本评标办法的解释权属于采购人。</w:t>
      </w:r>
    </w:p>
    <w:p w14:paraId="16C898FB">
      <w:pPr>
        <w:spacing w:line="360" w:lineRule="auto"/>
        <w:rPr>
          <w:rFonts w:hint="eastAsia" w:ascii="宋体" w:hAnsi="宋体" w:eastAsia="宋体" w:cs="宋体"/>
          <w:color w:val="auto"/>
          <w:sz w:val="24"/>
          <w:highlight w:val="none"/>
        </w:rPr>
      </w:pPr>
    </w:p>
    <w:p w14:paraId="50C86AFC">
      <w:pPr>
        <w:pStyle w:val="4"/>
        <w:spacing w:before="0" w:after="0" w:line="400" w:lineRule="exact"/>
        <w:jc w:val="center"/>
        <w:rPr>
          <w:rFonts w:hint="eastAsia" w:ascii="宋体" w:hAnsi="宋体" w:eastAsia="宋体" w:cs="宋体"/>
          <w:color w:val="auto"/>
          <w:sz w:val="32"/>
          <w:highlight w:val="none"/>
        </w:rPr>
      </w:pPr>
      <w:bookmarkStart w:id="58" w:name="_Toc527725920"/>
      <w:r>
        <w:rPr>
          <w:rFonts w:hint="eastAsia" w:ascii="宋体" w:hAnsi="宋体" w:eastAsia="宋体" w:cs="宋体"/>
          <w:color w:val="auto"/>
          <w:sz w:val="32"/>
          <w:highlight w:val="none"/>
        </w:rPr>
        <w:br w:type="page"/>
      </w:r>
      <w:bookmarkStart w:id="59" w:name="_Toc28050"/>
      <w:bookmarkStart w:id="60" w:name="_Toc40975440"/>
      <w:bookmarkStart w:id="61" w:name="_Toc19953"/>
      <w:bookmarkStart w:id="62" w:name="_Toc19468"/>
      <w:r>
        <w:rPr>
          <w:rFonts w:hint="eastAsia" w:ascii="宋体" w:hAnsi="宋体" w:eastAsia="宋体" w:cs="宋体"/>
          <w:color w:val="auto"/>
          <w:sz w:val="32"/>
          <w:highlight w:val="none"/>
        </w:rPr>
        <w:t>招标文件第二部分</w:t>
      </w:r>
      <w:bookmarkEnd w:id="58"/>
      <w:bookmarkEnd w:id="59"/>
      <w:bookmarkEnd w:id="60"/>
      <w:bookmarkEnd w:id="61"/>
      <w:bookmarkEnd w:id="62"/>
    </w:p>
    <w:p w14:paraId="3C217EE1">
      <w:pPr>
        <w:pStyle w:val="5"/>
        <w:spacing w:line="500" w:lineRule="exact"/>
        <w:ind w:firstLine="0"/>
        <w:rPr>
          <w:rFonts w:hint="eastAsia" w:ascii="宋体" w:hAnsi="宋体" w:eastAsia="宋体" w:cs="宋体"/>
          <w:color w:val="auto"/>
          <w:highlight w:val="none"/>
        </w:rPr>
      </w:pPr>
      <w:bookmarkStart w:id="63" w:name="_Toc20612"/>
      <w:bookmarkStart w:id="64" w:name="_Toc527725921"/>
      <w:r>
        <w:rPr>
          <w:rFonts w:hint="eastAsia" w:ascii="宋体" w:hAnsi="宋体" w:eastAsia="宋体" w:cs="宋体"/>
          <w:color w:val="auto"/>
          <w:highlight w:val="none"/>
        </w:rPr>
        <w:t>第五章 投标人须知</w:t>
      </w:r>
      <w:bookmarkEnd w:id="63"/>
      <w:bookmarkEnd w:id="64"/>
    </w:p>
    <w:p w14:paraId="6EA75D12">
      <w:pPr>
        <w:pStyle w:val="6"/>
        <w:spacing w:line="500" w:lineRule="exact"/>
        <w:rPr>
          <w:rFonts w:hint="eastAsia" w:ascii="宋体" w:hAnsi="宋体" w:eastAsia="宋体" w:cs="宋体"/>
          <w:color w:val="auto"/>
          <w:sz w:val="28"/>
          <w:highlight w:val="none"/>
        </w:rPr>
      </w:pPr>
      <w:bookmarkStart w:id="65" w:name="_Hlt509649722"/>
      <w:bookmarkEnd w:id="65"/>
      <w:bookmarkStart w:id="66" w:name="_Hlt509650955"/>
      <w:bookmarkEnd w:id="66"/>
      <w:bookmarkStart w:id="67" w:name="_Hlt509650686"/>
      <w:bookmarkEnd w:id="67"/>
      <w:bookmarkStart w:id="68" w:name="_Hlt526418143"/>
      <w:bookmarkEnd w:id="68"/>
      <w:bookmarkStart w:id="69" w:name="_Hlt509649998"/>
      <w:bookmarkEnd w:id="69"/>
      <w:bookmarkStart w:id="70" w:name="_Hlt509650126"/>
      <w:bookmarkEnd w:id="70"/>
      <w:bookmarkStart w:id="71" w:name="_Toc40975442"/>
      <w:bookmarkStart w:id="72" w:name="_Toc10068"/>
      <w:bookmarkStart w:id="73" w:name="_Toc32160"/>
      <w:bookmarkStart w:id="74" w:name="_Toc23614"/>
      <w:bookmarkStart w:id="75" w:name="_Toc527725922"/>
      <w:r>
        <w:rPr>
          <w:rFonts w:hint="eastAsia" w:ascii="宋体" w:hAnsi="宋体" w:eastAsia="宋体" w:cs="宋体"/>
          <w:color w:val="auto"/>
          <w:sz w:val="28"/>
          <w:highlight w:val="none"/>
        </w:rPr>
        <w:t>一．总    则</w:t>
      </w:r>
      <w:bookmarkEnd w:id="71"/>
      <w:bookmarkEnd w:id="72"/>
      <w:bookmarkEnd w:id="73"/>
      <w:bookmarkEnd w:id="74"/>
      <w:bookmarkEnd w:id="75"/>
    </w:p>
    <w:p w14:paraId="56E3D424">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1.适用范围</w:t>
      </w:r>
    </w:p>
    <w:p w14:paraId="7FEE00E4">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1.1本招标文件仅适用于本次公开招标所述的服务项目采购。</w:t>
      </w:r>
    </w:p>
    <w:p w14:paraId="5FB7ED6C">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2.有关定义</w:t>
      </w:r>
    </w:p>
    <w:p w14:paraId="5CD2972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2.1招标人（采购人）：</w:t>
      </w:r>
      <w:r>
        <w:rPr>
          <w:rFonts w:hint="eastAsia" w:ascii="宋体" w:hAnsi="宋体" w:eastAsia="宋体" w:cs="宋体"/>
          <w:color w:val="auto"/>
          <w:sz w:val="24"/>
          <w:highlight w:val="none"/>
          <w:lang w:val="en-US" w:eastAsia="zh-CN"/>
        </w:rPr>
        <w:t>鹿邑县行政审批和政务信息管理局</w:t>
      </w:r>
      <w:r>
        <w:rPr>
          <w:rFonts w:hint="eastAsia" w:ascii="宋体" w:hAnsi="宋体" w:eastAsia="宋体" w:cs="宋体"/>
          <w:color w:val="auto"/>
          <w:sz w:val="24"/>
          <w:highlight w:val="none"/>
        </w:rPr>
        <w:t>。</w:t>
      </w:r>
    </w:p>
    <w:p w14:paraId="35BFF4D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2.2招标代理机构（集中采购机构）：系指周口市公共资源交易中心政府采购中心，以下简称“采购中心”。</w:t>
      </w:r>
    </w:p>
    <w:p w14:paraId="5859D4B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2.3政府采购监督管理部门：系指</w:t>
      </w:r>
      <w:r>
        <w:rPr>
          <w:rFonts w:hint="eastAsia" w:ascii="宋体" w:hAnsi="宋体" w:eastAsia="宋体" w:cs="宋体"/>
          <w:i w:val="0"/>
          <w:iCs w:val="0"/>
          <w:color w:val="auto"/>
          <w:sz w:val="24"/>
          <w:szCs w:val="24"/>
          <w:highlight w:val="none"/>
          <w:lang w:val="en-US" w:eastAsia="zh-CN"/>
        </w:rPr>
        <w:t>鹿邑县财政局政府采购监督管理科</w:t>
      </w:r>
      <w:r>
        <w:rPr>
          <w:rFonts w:hint="eastAsia" w:ascii="宋体" w:hAnsi="宋体" w:eastAsia="宋体" w:cs="宋体"/>
          <w:color w:val="auto"/>
          <w:sz w:val="24"/>
          <w:highlight w:val="none"/>
        </w:rPr>
        <w:t>。</w:t>
      </w:r>
    </w:p>
    <w:p w14:paraId="675703A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2.4投标人：系指已经在周口市公共资源交易中心网上下载招标文件的投标人，且已经提交或准备提交本次投标文件的制造商、供应商或服务商。</w:t>
      </w:r>
    </w:p>
    <w:p w14:paraId="1526040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2.服务：系指本项目所采购内容。</w:t>
      </w:r>
    </w:p>
    <w:p w14:paraId="38C1A94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2.6业绩：系指符合本招标文件规定且已供货（安装）完毕的合同及相关证明。</w:t>
      </w:r>
    </w:p>
    <w:p w14:paraId="37FE4A3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2.7投标人公章：在电子投标文件中系指投标人电子签章。</w:t>
      </w:r>
    </w:p>
    <w:p w14:paraId="4446FEB8">
      <w:pPr>
        <w:spacing w:line="360" w:lineRule="auto"/>
        <w:ind w:firstLine="550"/>
        <w:rPr>
          <w:rFonts w:hint="eastAsia" w:ascii="宋体" w:hAnsi="宋体" w:eastAsia="宋体" w:cs="宋体"/>
          <w:color w:val="auto"/>
          <w:sz w:val="24"/>
          <w:highlight w:val="none"/>
        </w:rPr>
      </w:pPr>
      <w:bookmarkStart w:id="76" w:name="OLE_LINK7"/>
      <w:r>
        <w:rPr>
          <w:rFonts w:hint="eastAsia" w:ascii="宋体" w:hAnsi="宋体" w:eastAsia="宋体" w:cs="宋体"/>
          <w:color w:val="auto"/>
          <w:sz w:val="24"/>
          <w:highlight w:val="none"/>
          <w:lang w:val="en-US" w:eastAsia="zh-CN"/>
        </w:rPr>
        <w:t>2.8供应商应</w:t>
      </w:r>
      <w:r>
        <w:rPr>
          <w:rFonts w:hint="eastAsia" w:ascii="宋体" w:hAnsi="宋体" w:eastAsia="宋体" w:cs="宋体"/>
          <w:color w:val="auto"/>
          <w:sz w:val="24"/>
          <w:highlight w:val="none"/>
        </w:rPr>
        <w:t>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bookmarkEnd w:id="76"/>
    </w:p>
    <w:p w14:paraId="1574EED3">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3.投标费用</w:t>
      </w:r>
    </w:p>
    <w:p w14:paraId="4758ECBA">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3.1无论投标结果如何，投标人应自行承担其编制与递交投标文件所涉及的一切费用。</w:t>
      </w:r>
      <w:r>
        <w:rPr>
          <w:rFonts w:hint="eastAsia" w:ascii="宋体" w:hAnsi="宋体" w:cs="宋体"/>
          <w:color w:val="auto"/>
          <w:sz w:val="24"/>
          <w:highlight w:val="none"/>
          <w:lang w:val="en-US" w:eastAsia="zh-CN"/>
        </w:rPr>
        <w:t>并提供承诺书。</w:t>
      </w:r>
      <w:r>
        <w:rPr>
          <w:rFonts w:hint="eastAsia" w:ascii="宋体" w:hAnsi="宋体" w:eastAsia="宋体" w:cs="宋体"/>
          <w:b/>
          <w:color w:val="auto"/>
          <w:sz w:val="24"/>
          <w:highlight w:val="none"/>
        </w:rPr>
        <w:t>评标委员会评标费用由采购人</w:t>
      </w:r>
      <w:r>
        <w:rPr>
          <w:rFonts w:hint="eastAsia" w:ascii="宋体" w:hAnsi="宋体" w:eastAsia="宋体" w:cs="宋体"/>
          <w:b/>
          <w:color w:val="auto"/>
          <w:sz w:val="24"/>
          <w:highlight w:val="none"/>
          <w:lang w:val="en-US" w:eastAsia="zh-CN"/>
        </w:rPr>
        <w:t>支付</w:t>
      </w:r>
      <w:r>
        <w:rPr>
          <w:rFonts w:hint="eastAsia" w:ascii="宋体" w:hAnsi="宋体" w:eastAsia="宋体" w:cs="宋体"/>
          <w:b/>
          <w:color w:val="auto"/>
          <w:sz w:val="24"/>
          <w:highlight w:val="none"/>
        </w:rPr>
        <w:t>。</w:t>
      </w:r>
    </w:p>
    <w:p w14:paraId="4EEEAC53">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4.合格的投标人</w:t>
      </w:r>
    </w:p>
    <w:p w14:paraId="60B77C56">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4.1合格的投标人应符合招标文件载明的投标资格。</w:t>
      </w:r>
    </w:p>
    <w:p w14:paraId="57646D06">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4.2投标人之间如果存在下列情形之一的，不得同时参加同一标段（包别）或者不分标段（包别）的同一项目投标：</w:t>
      </w:r>
    </w:p>
    <w:p w14:paraId="21BE9E20">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4.2.1法定代表人为同一个人的两个及两个以上法人；</w:t>
      </w:r>
    </w:p>
    <w:p w14:paraId="251E97B7">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4.2.2母公司、全资子公司及其控股公司；</w:t>
      </w:r>
    </w:p>
    <w:p w14:paraId="02F97AD6">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4.2.3参加投标的其他组织之间存在特殊的利害关系的；</w:t>
      </w:r>
    </w:p>
    <w:p w14:paraId="722B079F">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4.2.4法律和行政法规规定的其他情形。</w:t>
      </w:r>
    </w:p>
    <w:p w14:paraId="1E7EA128">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5.勘察现场</w:t>
      </w:r>
    </w:p>
    <w:p w14:paraId="6D6C476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1D2AEDC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1382ECB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5.3除非有特殊要求，招标文件不单独提供供货使用地的自然环境、气候条件、公用设施等情况，投标人被视为熟悉上述与履行合同有关的一切情况。</w:t>
      </w:r>
    </w:p>
    <w:p w14:paraId="4BC42842">
      <w:pPr>
        <w:spacing w:line="360" w:lineRule="auto"/>
        <w:ind w:firstLine="55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6.知识产权</w:t>
      </w:r>
    </w:p>
    <w:p w14:paraId="58CECBBF">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6.1</w:t>
      </w:r>
      <w:r>
        <w:rPr>
          <w:rFonts w:hint="eastAsia" w:ascii="宋体" w:hAnsi="宋体" w:eastAsia="宋体" w:cs="宋体"/>
          <w:bCs/>
          <w:color w:val="auto"/>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w:t>
      </w:r>
      <w:r>
        <w:rPr>
          <w:rFonts w:hint="eastAsia" w:ascii="宋体" w:hAnsi="宋体" w:cs="宋体"/>
          <w:bCs/>
          <w:color w:val="auto"/>
          <w:sz w:val="24"/>
          <w:highlight w:val="none"/>
          <w:lang w:val="en-US" w:eastAsia="zh-CN"/>
        </w:rPr>
        <w:t>并出具保证书</w:t>
      </w:r>
      <w:r>
        <w:rPr>
          <w:rFonts w:hint="eastAsia" w:ascii="宋体" w:hAnsi="宋体" w:eastAsia="宋体" w:cs="宋体"/>
          <w:bCs/>
          <w:color w:val="auto"/>
          <w:sz w:val="24"/>
          <w:highlight w:val="none"/>
        </w:rPr>
        <w:t>。如投标人不拥有相应的知识产权，则在投标报价中必须包括合法获取该知识产权的一切相关费用。</w:t>
      </w:r>
      <w:r>
        <w:rPr>
          <w:rFonts w:hint="eastAsia" w:ascii="宋体" w:hAnsi="宋体" w:eastAsia="宋体" w:cs="宋体"/>
          <w:color w:val="auto"/>
          <w:sz w:val="24"/>
          <w:highlight w:val="none"/>
        </w:rPr>
        <w:t>如因此导致采购人损失的，投标人须承担全部赔偿责任。</w:t>
      </w:r>
    </w:p>
    <w:p w14:paraId="1FE904BD">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1B4A92E3">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7.纪律与保密</w:t>
      </w:r>
    </w:p>
    <w:p w14:paraId="54F7680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7.1投标人的投标行为应遵守中国的有关法律、法规和规章。</w:t>
      </w:r>
    </w:p>
    <w:p w14:paraId="153A43B5">
      <w:pPr>
        <w:spacing w:line="360" w:lineRule="auto"/>
        <w:ind w:firstLine="480" w:firstLineChars="200"/>
        <w:rPr>
          <w:rFonts w:hint="eastAsia" w:ascii="宋体" w:hAnsi="宋体" w:eastAsia="宋体" w:cs="宋体"/>
          <w:color w:val="auto"/>
          <w:sz w:val="24"/>
          <w:highlight w:val="none"/>
        </w:rPr>
      </w:pPr>
      <w:bookmarkStart w:id="77" w:name="OLE_LINK10"/>
      <w:r>
        <w:rPr>
          <w:rFonts w:hint="eastAsia" w:ascii="宋体" w:hAnsi="宋体" w:eastAsia="宋体" w:cs="宋体"/>
          <w:color w:val="auto"/>
          <w:sz w:val="24"/>
          <w:highlight w:val="none"/>
        </w:rPr>
        <w:t>7.2投标人不得相互串通投标报价，不得妨碍其他投标人的公平竞争，不得损害采购人或其他投标人的合法权益，投标人不得以向采购人、评委会成员行贿或者采取其他不正当手段谋取中标。对上述作出保证并附投标文件中，否则视为不响应招标文件要求。</w:t>
      </w:r>
    </w:p>
    <w:bookmarkEnd w:id="77"/>
    <w:p w14:paraId="2E16B7B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7.2.1有下列情形之一的，属于投标人相互串通投标：</w:t>
      </w:r>
    </w:p>
    <w:p w14:paraId="6D4FEE7F">
      <w:pPr>
        <w:spacing w:line="360" w:lineRule="auto"/>
        <w:ind w:firstLine="1024" w:firstLineChars="427"/>
        <w:rPr>
          <w:rFonts w:hint="eastAsia" w:ascii="宋体" w:hAnsi="宋体" w:eastAsia="宋体" w:cs="宋体"/>
          <w:color w:val="auto"/>
          <w:sz w:val="24"/>
          <w:highlight w:val="none"/>
        </w:rPr>
      </w:pPr>
      <w:r>
        <w:rPr>
          <w:rFonts w:hint="eastAsia" w:ascii="宋体" w:hAnsi="宋体" w:eastAsia="宋体" w:cs="宋体"/>
          <w:color w:val="auto"/>
          <w:sz w:val="24"/>
          <w:highlight w:val="none"/>
        </w:rPr>
        <w:t>7.2.1.1不同投标人的投标文件由同一单位或者个人编制；</w:t>
      </w:r>
    </w:p>
    <w:p w14:paraId="23DBCCED">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7.2.1.2不同投标人委托同一单位或者个人办理投标事宜；</w:t>
      </w:r>
    </w:p>
    <w:p w14:paraId="1FAE081D">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7.2.1.3不同投标人的投标文件载明的项目管理成员或者联系人员为同一人；</w:t>
      </w:r>
    </w:p>
    <w:p w14:paraId="46F65CD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7.2.1.4不同投标人的投标文件异常一致或者投标报价呈规律性差异；</w:t>
      </w:r>
    </w:p>
    <w:p w14:paraId="411A35A0">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　　7.2.1.5不同投标人的投标文件相互混装</w:t>
      </w:r>
      <w:r>
        <w:rPr>
          <w:rFonts w:hint="eastAsia" w:ascii="宋体" w:hAnsi="宋体" w:eastAsia="宋体" w:cs="宋体"/>
          <w:color w:val="auto"/>
          <w:sz w:val="24"/>
          <w:highlight w:val="none"/>
          <w:lang w:eastAsia="zh-CN"/>
        </w:rPr>
        <w:t>。</w:t>
      </w:r>
    </w:p>
    <w:p w14:paraId="208FBA4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7.3在确定中标人之前，投标人不得与采购人就投标价格、投标方案等实质性内容进行谈判，也不得私下接触评委会成员。</w:t>
      </w:r>
    </w:p>
    <w:p w14:paraId="60FA89DE">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7.4在确定中标人之前，投标人试图在投标文件审查、澄清、比较和评价时对评委会、采购人和采购中心施加任何影响都可能导致其投标无效。</w:t>
      </w:r>
    </w:p>
    <w:p w14:paraId="3867CC8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5E50C486">
      <w:pPr>
        <w:spacing w:line="360" w:lineRule="auto"/>
        <w:ind w:firstLine="549"/>
        <w:rPr>
          <w:rFonts w:hint="eastAsia" w:ascii="宋体" w:hAnsi="宋体" w:eastAsia="宋体" w:cs="宋体"/>
          <w:color w:val="auto"/>
          <w:sz w:val="24"/>
          <w:highlight w:val="none"/>
        </w:rPr>
      </w:pPr>
      <w:bookmarkStart w:id="78" w:name="OLE_LINK11"/>
      <w:r>
        <w:rPr>
          <w:rFonts w:hint="eastAsia" w:ascii="宋体" w:hAnsi="宋体" w:eastAsia="宋体" w:cs="宋体"/>
          <w:color w:val="auto"/>
          <w:sz w:val="24"/>
          <w:highlight w:val="none"/>
        </w:rPr>
        <w:t>7.6参与采购竞标活动的各方应对招标文件和招标文件中的商业和技术等秘密保密，违者应对由此造成的后果承担法律责任。对上述作出书面承诺并附投标文件中，否则视为不响应招标文件要求。</w:t>
      </w:r>
    </w:p>
    <w:bookmarkEnd w:id="78"/>
    <w:p w14:paraId="13A0E675">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8.联合体投标</w:t>
      </w:r>
    </w:p>
    <w:p w14:paraId="6C526EF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不接受联合体投标</w:t>
      </w:r>
    </w:p>
    <w:p w14:paraId="2CEDD026">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9.投标品牌</w:t>
      </w:r>
    </w:p>
    <w:p w14:paraId="293820CA">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78328C42">
      <w:pPr>
        <w:spacing w:line="360" w:lineRule="auto"/>
        <w:ind w:firstLine="525"/>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10.投标专用章的效力</w:t>
      </w:r>
    </w:p>
    <w:p w14:paraId="3E9EAA14">
      <w:pPr>
        <w:pageBreakBefore w:val="0"/>
        <w:widowControl w:val="0"/>
        <w:kinsoku/>
        <w:wordWrap/>
        <w:overflowPunct/>
        <w:topLinePunct w:val="0"/>
        <w:autoSpaceDE/>
        <w:autoSpaceDN/>
        <w:bidi w:val="0"/>
        <w:adjustRightInd/>
        <w:spacing w:line="480" w:lineRule="exact"/>
        <w:ind w:firstLine="525"/>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10.1招标文件中明确要求加盖电子签章的，投标人必须加盖投标人电子签章。生成后的电子投标文件需要加盖供应商骑缝章、法定代表人或委托代理人逐页签字盖章。</w:t>
      </w:r>
    </w:p>
    <w:p w14:paraId="225C37B5">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11.合同标的转让</w:t>
      </w:r>
    </w:p>
    <w:p w14:paraId="6A52A031">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11.1合同未约定或者未经采购人同意，中标人</w:t>
      </w:r>
      <w:r>
        <w:rPr>
          <w:rFonts w:hint="eastAsia" w:ascii="宋体" w:hAnsi="宋体" w:eastAsia="宋体" w:cs="宋体"/>
          <w:color w:val="auto"/>
          <w:sz w:val="24"/>
          <w:highlight w:val="none"/>
          <w:lang w:val="en-US" w:eastAsia="zh-CN"/>
        </w:rPr>
        <w:t>需</w:t>
      </w:r>
      <w:r>
        <w:rPr>
          <w:rFonts w:hint="eastAsia" w:ascii="宋体" w:hAnsi="宋体" w:cs="宋体"/>
          <w:color w:val="auto"/>
          <w:sz w:val="24"/>
          <w:highlight w:val="none"/>
          <w:lang w:eastAsia="zh-CN"/>
        </w:rPr>
        <w:t>书面承诺</w:t>
      </w:r>
      <w:r>
        <w:rPr>
          <w:rFonts w:hint="eastAsia" w:ascii="宋体" w:hAnsi="宋体" w:eastAsia="宋体" w:cs="宋体"/>
          <w:color w:val="auto"/>
          <w:sz w:val="24"/>
          <w:highlight w:val="none"/>
        </w:rPr>
        <w:t xml:space="preserve">不得向他人转让中标项目，也不得将中标项目肢解后分别向他人转让。 </w:t>
      </w:r>
    </w:p>
    <w:p w14:paraId="5E33213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191897A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11.3中标人应当就分包项目向采购人负责，接受分包的人就分包项目承担连带责任。</w:t>
      </w:r>
    </w:p>
    <w:p w14:paraId="4ACF08D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11.4未经政府采购管理部门批准，进口设备不得转包。</w:t>
      </w:r>
    </w:p>
    <w:p w14:paraId="03AFE53E">
      <w:pPr>
        <w:spacing w:line="360" w:lineRule="auto"/>
        <w:ind w:firstLine="525" w:firstLineChars="218"/>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12.会员信息库</w:t>
      </w:r>
    </w:p>
    <w:p w14:paraId="4DC28786">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728ABD65">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68DA7256">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为确保投标文件通过评审，投标人应及时对入库资料进行补充、更新。</w:t>
      </w:r>
    </w:p>
    <w:p w14:paraId="51D68216">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如因前款原因未通过本项目评委会评审，由投标人承担全部责任。</w:t>
      </w:r>
    </w:p>
    <w:p w14:paraId="57575BD6">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12.3网上会员库中文字资料与扫描件资料不一致时，以扫描件资料为准。</w:t>
      </w:r>
    </w:p>
    <w:p w14:paraId="19F55B27">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12.4有关会员库的更多信息，请登陆周口市公共资源交易中心网查询。</w:t>
      </w:r>
    </w:p>
    <w:p w14:paraId="004C00C1">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13.采购信息的发布</w:t>
      </w:r>
    </w:p>
    <w:p w14:paraId="17D0C08D">
      <w:pPr>
        <w:spacing w:line="360" w:lineRule="auto"/>
        <w:ind w:firstLine="550"/>
        <w:rPr>
          <w:rFonts w:hint="eastAsia" w:ascii="宋体" w:hAnsi="宋体" w:eastAsia="宋体" w:cs="宋体"/>
          <w:color w:val="auto"/>
          <w:sz w:val="28"/>
          <w:highlight w:val="none"/>
        </w:rPr>
      </w:pPr>
      <w:r>
        <w:rPr>
          <w:rFonts w:hint="eastAsia" w:ascii="宋体" w:hAnsi="宋体" w:eastAsia="宋体" w:cs="宋体"/>
          <w:color w:val="auto"/>
          <w:sz w:val="24"/>
          <w:highlight w:val="none"/>
        </w:rPr>
        <w:t>13.1与本次采购活动相关的信息，将发布在周口市公共资源交易中心网(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"http://jyzx.zhoukou.gov.cn"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http://jyzx.zhoukou.gov.cn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)及河南省政府采购网（www.hngp.gov.cn），以下简称“网站”。</w:t>
      </w:r>
    </w:p>
    <w:p w14:paraId="7E56469C">
      <w:pPr>
        <w:pStyle w:val="6"/>
        <w:spacing w:line="360" w:lineRule="auto"/>
        <w:ind w:firstLine="3418" w:firstLineChars="1216"/>
        <w:jc w:val="both"/>
        <w:rPr>
          <w:rFonts w:hint="eastAsia" w:ascii="宋体" w:hAnsi="宋体" w:eastAsia="宋体" w:cs="宋体"/>
          <w:color w:val="auto"/>
          <w:sz w:val="28"/>
          <w:highlight w:val="none"/>
        </w:rPr>
      </w:pPr>
      <w:bookmarkStart w:id="79" w:name="_Hlt509650690"/>
      <w:bookmarkEnd w:id="79"/>
      <w:bookmarkStart w:id="80" w:name="_Hlt509650936"/>
      <w:bookmarkEnd w:id="80"/>
      <w:bookmarkStart w:id="81" w:name="_Hlt509649678"/>
      <w:bookmarkEnd w:id="81"/>
      <w:bookmarkStart w:id="82" w:name="_Hlt509649669"/>
      <w:bookmarkEnd w:id="82"/>
      <w:bookmarkStart w:id="83" w:name="_Hlt509650333"/>
      <w:bookmarkEnd w:id="83"/>
      <w:bookmarkStart w:id="84" w:name="_Hlt509650961"/>
      <w:bookmarkEnd w:id="84"/>
      <w:bookmarkStart w:id="85" w:name="_Hlt509649795"/>
      <w:bookmarkEnd w:id="85"/>
      <w:bookmarkStart w:id="86" w:name="_Hlt526418153"/>
      <w:bookmarkEnd w:id="86"/>
      <w:bookmarkStart w:id="87" w:name="_Hlt509649330"/>
      <w:bookmarkEnd w:id="87"/>
      <w:bookmarkStart w:id="88" w:name="_Hlt509650932"/>
      <w:bookmarkEnd w:id="88"/>
      <w:bookmarkStart w:id="89" w:name="_Hlt509650103"/>
      <w:bookmarkEnd w:id="89"/>
      <w:bookmarkStart w:id="90" w:name="_Hlt509650929"/>
      <w:bookmarkEnd w:id="90"/>
      <w:bookmarkStart w:id="91" w:name="_Hlt509650116"/>
      <w:bookmarkEnd w:id="91"/>
      <w:bookmarkStart w:id="92" w:name="_Hlt509649645"/>
      <w:bookmarkEnd w:id="92"/>
      <w:bookmarkStart w:id="93" w:name="_Toc527725923"/>
      <w:bookmarkStart w:id="94" w:name="_Toc5653"/>
      <w:bookmarkStart w:id="95" w:name="_Toc40975443"/>
      <w:bookmarkStart w:id="96" w:name="_Toc7614"/>
      <w:bookmarkStart w:id="97" w:name="_Toc16689"/>
      <w:r>
        <w:rPr>
          <w:rFonts w:hint="eastAsia" w:ascii="宋体" w:hAnsi="宋体" w:eastAsia="宋体" w:cs="宋体"/>
          <w:color w:val="auto"/>
          <w:sz w:val="28"/>
          <w:highlight w:val="none"/>
        </w:rPr>
        <w:t>二．招标文件</w:t>
      </w:r>
      <w:bookmarkEnd w:id="93"/>
      <w:bookmarkEnd w:id="94"/>
      <w:bookmarkEnd w:id="95"/>
      <w:bookmarkEnd w:id="96"/>
      <w:bookmarkEnd w:id="97"/>
      <w:bookmarkStart w:id="98" w:name="_Hlt509650361"/>
      <w:bookmarkEnd w:id="98"/>
      <w:bookmarkStart w:id="99" w:name="_Hlt509649791"/>
      <w:bookmarkEnd w:id="99"/>
      <w:bookmarkStart w:id="100" w:name="_Hlt509649930"/>
      <w:bookmarkEnd w:id="100"/>
    </w:p>
    <w:p w14:paraId="5D82804E">
      <w:pPr>
        <w:spacing w:line="360" w:lineRule="auto"/>
        <w:ind w:firstLine="549"/>
        <w:rPr>
          <w:rFonts w:hint="eastAsia" w:ascii="宋体" w:hAnsi="宋体" w:eastAsia="宋体" w:cs="宋体"/>
          <w:b/>
          <w:color w:val="auto"/>
          <w:sz w:val="24"/>
          <w:highlight w:val="none"/>
        </w:rPr>
      </w:pPr>
      <w:bookmarkStart w:id="101" w:name="_Hlt509650734"/>
      <w:bookmarkEnd w:id="101"/>
      <w:r>
        <w:rPr>
          <w:rFonts w:hint="eastAsia" w:ascii="宋体" w:hAnsi="宋体" w:eastAsia="宋体" w:cs="宋体"/>
          <w:b/>
          <w:color w:val="auto"/>
          <w:sz w:val="24"/>
          <w:highlight w:val="none"/>
        </w:rPr>
        <w:t>14.招标文件构成</w:t>
      </w:r>
    </w:p>
    <w:p w14:paraId="1496CCA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14.1招标文件包括以下部分：</w:t>
      </w:r>
    </w:p>
    <w:p w14:paraId="52D2F7C8">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14.1.1第一章：</w:t>
      </w:r>
      <w:r>
        <w:rPr>
          <w:rFonts w:hint="eastAsia" w:ascii="宋体" w:hAnsi="宋体" w:eastAsia="宋体" w:cs="宋体"/>
          <w:bCs/>
          <w:color w:val="auto"/>
          <w:sz w:val="24"/>
          <w:highlight w:val="none"/>
        </w:rPr>
        <w:t>投标邀请（招标公告）；</w:t>
      </w:r>
    </w:p>
    <w:p w14:paraId="1A10B470">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14.1.2第二章：</w:t>
      </w:r>
      <w:bookmarkStart w:id="102" w:name="_Hlt509650925"/>
      <w:bookmarkEnd w:id="102"/>
      <w:r>
        <w:rPr>
          <w:rFonts w:hint="eastAsia" w:ascii="宋体" w:hAnsi="宋体" w:eastAsia="宋体" w:cs="宋体"/>
          <w:bCs/>
          <w:color w:val="auto"/>
          <w:sz w:val="24"/>
          <w:highlight w:val="none"/>
        </w:rPr>
        <w:t>投标人须知前附表；</w:t>
      </w:r>
    </w:p>
    <w:p w14:paraId="600B189A">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14.1.3第三章：</w:t>
      </w:r>
      <w:r>
        <w:rPr>
          <w:rFonts w:hint="eastAsia" w:ascii="宋体" w:hAnsi="宋体" w:eastAsia="宋体" w:cs="宋体"/>
          <w:bCs/>
          <w:color w:val="auto"/>
          <w:sz w:val="24"/>
          <w:highlight w:val="none"/>
        </w:rPr>
        <w:t>需求一览表；</w:t>
      </w:r>
    </w:p>
    <w:p w14:paraId="6FC540B6">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14.1.4第四章：</w:t>
      </w:r>
      <w:r>
        <w:rPr>
          <w:rFonts w:hint="eastAsia" w:ascii="宋体" w:hAnsi="宋体" w:eastAsia="宋体" w:cs="宋体"/>
          <w:bCs/>
          <w:color w:val="auto"/>
          <w:sz w:val="24"/>
          <w:highlight w:val="none"/>
        </w:rPr>
        <w:t>评标办法；</w:t>
      </w:r>
    </w:p>
    <w:p w14:paraId="5687A262">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14.1.5第五章：</w:t>
      </w:r>
      <w:r>
        <w:rPr>
          <w:rFonts w:hint="eastAsia" w:ascii="宋体" w:hAnsi="宋体" w:eastAsia="宋体" w:cs="宋体"/>
          <w:bCs/>
          <w:color w:val="auto"/>
          <w:sz w:val="24"/>
          <w:highlight w:val="none"/>
        </w:rPr>
        <w:t>投标人须知；</w:t>
      </w:r>
    </w:p>
    <w:p w14:paraId="6C9106F3">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14.1.6第六章：</w:t>
      </w:r>
      <w:r>
        <w:rPr>
          <w:rFonts w:hint="eastAsia" w:ascii="宋体" w:hAnsi="宋体" w:eastAsia="宋体" w:cs="宋体"/>
          <w:bCs/>
          <w:color w:val="auto"/>
          <w:sz w:val="24"/>
          <w:highlight w:val="none"/>
        </w:rPr>
        <w:t>采购合同；</w:t>
      </w:r>
    </w:p>
    <w:p w14:paraId="5F671B41">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14.1.7第七章：</w:t>
      </w:r>
      <w:r>
        <w:rPr>
          <w:rFonts w:hint="eastAsia" w:ascii="宋体" w:hAnsi="宋体" w:eastAsia="宋体" w:cs="宋体"/>
          <w:bCs/>
          <w:color w:val="auto"/>
          <w:sz w:val="24"/>
          <w:highlight w:val="none"/>
        </w:rPr>
        <w:t>投标文件格式；</w:t>
      </w:r>
    </w:p>
    <w:p w14:paraId="1218114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bCs/>
          <w:color w:val="auto"/>
          <w:sz w:val="24"/>
          <w:highlight w:val="none"/>
        </w:rPr>
        <w:t>14.1.8周口市公共资源交易中心政府采购中心发布的</w:t>
      </w:r>
      <w:r>
        <w:rPr>
          <w:rFonts w:hint="eastAsia" w:ascii="宋体" w:hAnsi="宋体" w:eastAsia="宋体" w:cs="宋体"/>
          <w:color w:val="auto"/>
          <w:sz w:val="24"/>
          <w:highlight w:val="none"/>
        </w:rPr>
        <w:t>图纸、答疑、补遗、补充通知等。</w:t>
      </w:r>
    </w:p>
    <w:p w14:paraId="0F2190AB">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14.2 投标人应认真阅读招标文件中所有的事项、格式、条件、条款和规范等要求。</w:t>
      </w:r>
    </w:p>
    <w:p w14:paraId="09F378F4">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14.3投标人应当按照招标文件的要求编制投标文件。投标文件应对招标文件提出的要求和条件作出实质性响应。</w:t>
      </w:r>
    </w:p>
    <w:p w14:paraId="1EE800E4">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14.4投标人获取招标文件后，应仔细检查招标文件的所有内容，如有残缺等问题应在获得招标文件3日内向</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提出，否则，由此引起的损失由投标人自行承担。</w:t>
      </w:r>
    </w:p>
    <w:p w14:paraId="5C606DB7">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15.招标文件的澄清与修改</w:t>
      </w:r>
    </w:p>
    <w:p w14:paraId="56C132C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15.1</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w:t>
      </w:r>
      <w:r>
        <w:rPr>
          <w:rFonts w:hint="eastAsia" w:ascii="宋体" w:hAnsi="宋体" w:eastAsia="宋体" w:cs="宋体"/>
          <w:color w:val="auto"/>
          <w:sz w:val="24"/>
          <w:highlight w:val="none"/>
          <w:lang w:val="en-US" w:eastAsia="zh-CN"/>
        </w:rPr>
        <w:t>通知</w:t>
      </w:r>
      <w:r>
        <w:rPr>
          <w:rFonts w:hint="eastAsia" w:ascii="宋体" w:hAnsi="宋体" w:eastAsia="宋体" w:cs="宋体"/>
          <w:color w:val="auto"/>
          <w:sz w:val="24"/>
          <w:highlight w:val="none"/>
        </w:rPr>
        <w:t>所有获取招标文件的潜在投标人；不足15日的，采购人或者采购代理机构应当顺延提交投标文件的截止时间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投标人应主动上网查询。</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不承担投标人未及时关注相关信息引发的相关责任。</w:t>
      </w:r>
    </w:p>
    <w:p w14:paraId="0DEEFAB9">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15.2在投标截止时间前，</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和投标人在投标截止期方面的全部权力、责任和义务，将适用于延长后新的投标截止期。</w:t>
      </w:r>
    </w:p>
    <w:p w14:paraId="06CCD67A">
      <w:pPr>
        <w:spacing w:line="360" w:lineRule="auto"/>
        <w:ind w:firstLine="550"/>
        <w:rPr>
          <w:rFonts w:hint="eastAsia" w:ascii="宋体" w:hAnsi="宋体" w:eastAsia="宋体" w:cs="宋体"/>
          <w:color w:val="auto"/>
          <w:sz w:val="28"/>
          <w:highlight w:val="none"/>
        </w:rPr>
      </w:pPr>
      <w:r>
        <w:rPr>
          <w:rFonts w:hint="eastAsia" w:ascii="宋体" w:hAnsi="宋体" w:eastAsia="宋体" w:cs="宋体"/>
          <w:color w:val="auto"/>
          <w:sz w:val="24"/>
          <w:highlight w:val="none"/>
        </w:rPr>
        <w:t>15.3特殊情况下，</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发布澄清、更正或更改公告后，可不改变投标截止时间和开标时间。</w:t>
      </w:r>
    </w:p>
    <w:p w14:paraId="03A8FDE3">
      <w:pPr>
        <w:pStyle w:val="6"/>
        <w:spacing w:line="360" w:lineRule="auto"/>
        <w:ind w:firstLine="2715" w:firstLineChars="966"/>
        <w:jc w:val="both"/>
        <w:rPr>
          <w:rFonts w:hint="eastAsia" w:ascii="宋体" w:hAnsi="宋体" w:eastAsia="宋体" w:cs="宋体"/>
          <w:color w:val="auto"/>
          <w:sz w:val="28"/>
          <w:highlight w:val="none"/>
        </w:rPr>
      </w:pPr>
      <w:bookmarkStart w:id="103" w:name="_Hlt510342861"/>
      <w:bookmarkEnd w:id="103"/>
      <w:bookmarkStart w:id="104" w:name="_Hlt509649724"/>
      <w:bookmarkEnd w:id="104"/>
      <w:bookmarkStart w:id="105" w:name="_Hlt509650697"/>
      <w:bookmarkEnd w:id="105"/>
      <w:bookmarkStart w:id="106" w:name="_Toc25639"/>
      <w:bookmarkStart w:id="107" w:name="_Toc527725924"/>
      <w:bookmarkStart w:id="108" w:name="_Toc40975444"/>
      <w:bookmarkStart w:id="109" w:name="_Toc30687"/>
      <w:bookmarkStart w:id="110" w:name="_Toc29307"/>
      <w:r>
        <w:rPr>
          <w:rFonts w:hint="eastAsia" w:ascii="宋体" w:hAnsi="宋体" w:eastAsia="宋体" w:cs="宋体"/>
          <w:color w:val="auto"/>
          <w:sz w:val="28"/>
          <w:highlight w:val="none"/>
        </w:rPr>
        <w:t>三．投标文件的编制</w:t>
      </w:r>
      <w:bookmarkEnd w:id="106"/>
      <w:bookmarkEnd w:id="107"/>
      <w:bookmarkEnd w:id="108"/>
      <w:bookmarkEnd w:id="109"/>
      <w:bookmarkEnd w:id="110"/>
    </w:p>
    <w:p w14:paraId="255BE80B">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16.投标文件构成与格式</w:t>
      </w:r>
    </w:p>
    <w:p w14:paraId="6B402154">
      <w:pPr>
        <w:spacing w:line="360" w:lineRule="auto"/>
        <w:ind w:firstLine="550"/>
        <w:rPr>
          <w:rFonts w:hint="eastAsia" w:ascii="宋体" w:hAnsi="宋体" w:eastAsia="宋体" w:cs="宋体"/>
          <w:color w:val="auto"/>
          <w:sz w:val="24"/>
          <w:highlight w:val="none"/>
        </w:rPr>
      </w:pPr>
      <w:bookmarkStart w:id="111" w:name="_Hlt509650345"/>
      <w:bookmarkEnd w:id="111"/>
      <w:r>
        <w:rPr>
          <w:rFonts w:hint="eastAsia" w:ascii="宋体" w:hAnsi="宋体" w:eastAsia="宋体" w:cs="宋体"/>
          <w:color w:val="auto"/>
          <w:sz w:val="24"/>
          <w:highlight w:val="none"/>
        </w:rPr>
        <w:t>16.1投标文件是对招标文件的实质性响应及承诺文件。</w:t>
      </w:r>
    </w:p>
    <w:p w14:paraId="6DAA14F5">
      <w:pPr>
        <w:spacing w:line="360" w:lineRule="auto"/>
        <w:ind w:firstLine="5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16.2</w:t>
      </w:r>
      <w:r>
        <w:rPr>
          <w:rFonts w:hint="eastAsia" w:ascii="宋体" w:hAnsi="宋体" w:eastAsia="宋体" w:cs="宋体"/>
          <w:bCs/>
          <w:color w:val="auto"/>
          <w:sz w:val="24"/>
          <w:highlight w:val="none"/>
        </w:rPr>
        <w:t>除非注明“投标人可自行制作格式”，投标文件应使用招标文件提供的格式。</w:t>
      </w:r>
    </w:p>
    <w:p w14:paraId="30624E88">
      <w:pPr>
        <w:spacing w:line="360" w:lineRule="auto"/>
        <w:ind w:firstLine="550"/>
        <w:rPr>
          <w:rFonts w:hint="eastAsia" w:ascii="宋体" w:hAnsi="宋体" w:eastAsia="宋体" w:cs="宋体"/>
          <w:color w:val="auto"/>
          <w:sz w:val="24"/>
          <w:highlight w:val="none"/>
        </w:rPr>
      </w:pPr>
      <w:r>
        <w:rPr>
          <w:rFonts w:hint="eastAsia" w:ascii="宋体" w:hAnsi="宋体" w:eastAsia="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5644F0E">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16.4除非招标文件另有规定，投标文件应使用中华人民共和国法定计量单位。</w:t>
      </w:r>
    </w:p>
    <w:p w14:paraId="404A21C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1D741BC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16.6投标文件应编制应编制</w:t>
      </w:r>
      <w:r>
        <w:rPr>
          <w:rFonts w:hint="eastAsia" w:ascii="宋体" w:hAnsi="宋体" w:cs="宋体"/>
          <w:color w:val="auto"/>
          <w:sz w:val="24"/>
          <w:highlight w:val="none"/>
        </w:rPr>
        <w:t>连续</w:t>
      </w:r>
      <w:r>
        <w:rPr>
          <w:rFonts w:hint="eastAsia" w:ascii="宋体" w:hAnsi="宋体" w:cs="宋体"/>
          <w:color w:val="auto"/>
          <w:sz w:val="24"/>
          <w:highlight w:val="none"/>
          <w:lang w:eastAsia="zh-CN"/>
        </w:rPr>
        <w:t>全页及分页</w:t>
      </w:r>
      <w:r>
        <w:rPr>
          <w:rFonts w:hint="eastAsia" w:ascii="宋体" w:hAnsi="宋体" w:eastAsia="宋体" w:cs="宋体"/>
          <w:color w:val="auto"/>
          <w:sz w:val="24"/>
          <w:highlight w:val="none"/>
        </w:rPr>
        <w:t>，除特殊规格的图纸或方案、图片资料等外，均应按A4规格制作。供应商应按文件规定的格式和顺序制作响应文件。除了响应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w:t>
      </w:r>
      <w:r>
        <w:rPr>
          <w:rFonts w:hint="eastAsia" w:ascii="宋体" w:hAnsi="宋体" w:eastAsia="宋体" w:cs="宋体"/>
          <w:color w:val="auto"/>
          <w:sz w:val="24"/>
          <w:highlight w:val="none"/>
          <w:lang w:eastAsia="zh-CN"/>
        </w:rPr>
        <w:t>。</w:t>
      </w:r>
    </w:p>
    <w:p w14:paraId="2426E49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16.7电报、电话、传真形式的投标概不接受。</w:t>
      </w:r>
    </w:p>
    <w:p w14:paraId="0287B7A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kern w:val="2"/>
          <w:sz w:val="24"/>
          <w:highlight w:val="none"/>
          <w:lang w:val="en-US" w:eastAsia="zh-CN" w:bidi="ar-SA"/>
        </w:rPr>
        <w:t>16.8电子投标文</w:t>
      </w:r>
      <w:r>
        <w:rPr>
          <w:rFonts w:hint="eastAsia" w:ascii="宋体" w:hAnsi="宋体" w:cs="宋体"/>
          <w:color w:val="auto"/>
          <w:kern w:val="2"/>
          <w:sz w:val="24"/>
          <w:highlight w:val="none"/>
          <w:lang w:val="en-US" w:eastAsia="zh-CN" w:bidi="ar-SA"/>
        </w:rPr>
        <w:t>件</w:t>
      </w:r>
      <w:r>
        <w:rPr>
          <w:rFonts w:hint="eastAsia" w:ascii="宋体" w:hAnsi="宋体" w:eastAsia="宋体" w:cs="宋体"/>
          <w:color w:val="auto"/>
          <w:kern w:val="2"/>
          <w:sz w:val="24"/>
          <w:highlight w:val="none"/>
          <w:lang w:val="en-US" w:eastAsia="zh-CN" w:bidi="ar-SA"/>
        </w:rPr>
        <w:t>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3B35A60E">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16.9谈判供应商应仔细阅读项目内容及技术要求，并做出相应承诺，如中标后无法履行应尽义务，</w:t>
      </w:r>
      <w:r>
        <w:rPr>
          <w:rFonts w:hint="eastAsia" w:ascii="宋体" w:hAnsi="宋体" w:eastAsia="宋体" w:cs="宋体"/>
          <w:color w:val="auto"/>
          <w:sz w:val="24"/>
          <w:highlight w:val="none"/>
        </w:rPr>
        <w:t>投标人自行承担一切后果</w:t>
      </w:r>
      <w:r>
        <w:rPr>
          <w:rFonts w:hint="eastAsia" w:ascii="宋体" w:hAnsi="宋体" w:eastAsia="宋体" w:cs="宋体"/>
          <w:color w:val="auto"/>
          <w:sz w:val="24"/>
          <w:highlight w:val="none"/>
          <w:lang w:eastAsia="zh-CN"/>
        </w:rPr>
        <w:t>。</w:t>
      </w:r>
    </w:p>
    <w:p w14:paraId="784ED8F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16.10</w:t>
      </w:r>
      <w:r>
        <w:rPr>
          <w:rFonts w:hint="eastAsia" w:ascii="宋体" w:hAnsi="宋体" w:eastAsia="宋体" w:cs="宋体"/>
          <w:color w:val="auto"/>
          <w:sz w:val="24"/>
          <w:highlight w:val="none"/>
        </w:rPr>
        <w:t>法定代表人授权委托书须在法人和被授权人身份证正面签名确认</w:t>
      </w:r>
      <w:r>
        <w:rPr>
          <w:rFonts w:hint="eastAsia" w:ascii="宋体" w:hAnsi="宋体" w:eastAsia="宋体" w:cs="宋体"/>
          <w:color w:val="auto"/>
          <w:sz w:val="24"/>
          <w:highlight w:val="none"/>
          <w:lang w:eastAsia="zh-CN"/>
        </w:rPr>
        <w:t>。</w:t>
      </w:r>
    </w:p>
    <w:p w14:paraId="7F1E9D69">
      <w:pPr>
        <w:spacing w:line="360" w:lineRule="auto"/>
        <w:ind w:firstLine="550"/>
        <w:rPr>
          <w:rFonts w:hint="eastAsia" w:ascii="宋体" w:hAnsi="宋体" w:eastAsia="宋体" w:cs="宋体"/>
          <w:color w:val="auto"/>
          <w:sz w:val="24"/>
          <w:highlight w:val="none"/>
        </w:rPr>
      </w:pPr>
      <w:r>
        <w:rPr>
          <w:rFonts w:hint="eastAsia" w:ascii="宋体" w:hAnsi="宋体" w:eastAsia="宋体" w:cs="宋体"/>
          <w:b/>
          <w:color w:val="auto"/>
          <w:sz w:val="24"/>
          <w:highlight w:val="none"/>
        </w:rPr>
        <w:t>17.报价</w:t>
      </w:r>
    </w:p>
    <w:p w14:paraId="7707F7D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3D3D7CC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0EF7B01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17.3投标人应在投标文件中注明拟提供服务的单价明细和总价</w:t>
      </w:r>
      <w:r>
        <w:rPr>
          <w:rFonts w:hint="eastAsia" w:ascii="宋体" w:hAnsi="宋体" w:eastAsia="宋体" w:cs="宋体"/>
          <w:color w:val="auto"/>
          <w:sz w:val="24"/>
          <w:highlight w:val="none"/>
          <w:lang w:eastAsia="zh-CN"/>
        </w:rPr>
        <w:t>，</w:t>
      </w:r>
      <w:r>
        <w:rPr>
          <w:rFonts w:hint="eastAsia" w:cs="宋体"/>
          <w:color w:val="auto"/>
          <w:sz w:val="24"/>
          <w:highlight w:val="none"/>
          <w:lang w:val="en-US" w:eastAsia="zh-CN"/>
        </w:rPr>
        <w:t>并在</w:t>
      </w:r>
      <w:r>
        <w:rPr>
          <w:rFonts w:hint="eastAsia" w:ascii="宋体" w:hAnsi="宋体" w:eastAsia="宋体" w:cs="宋体"/>
          <w:color w:val="auto"/>
          <w:sz w:val="24"/>
          <w:highlight w:val="none"/>
          <w:lang w:val="en-US" w:eastAsia="zh-CN"/>
        </w:rPr>
        <w:t>总价处加盖公章</w:t>
      </w:r>
      <w:r>
        <w:rPr>
          <w:rFonts w:hint="eastAsia" w:ascii="宋体" w:hAnsi="宋体" w:eastAsia="宋体" w:cs="宋体"/>
          <w:color w:val="auto"/>
          <w:sz w:val="24"/>
          <w:highlight w:val="none"/>
        </w:rPr>
        <w:t>。</w:t>
      </w:r>
    </w:p>
    <w:p w14:paraId="4EB4FC69">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17.4除非招标文件另有规定，每一包只允许有一个最终报价，任何有选择的报价或替代方案将导致投标无效。</w:t>
      </w:r>
    </w:p>
    <w:p w14:paraId="0818AFA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17.5采购人不建议投标人采用总价优惠或以总价百分比优惠的方式进行投标报价，其优惠可直接计算并体现在各项投标报价的单价中。</w:t>
      </w:r>
    </w:p>
    <w:p w14:paraId="79790054">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17.6除政策性文件规定以外，投标人所报价格在合同实施期间不因市场变化因素而变动。</w:t>
      </w:r>
    </w:p>
    <w:p w14:paraId="4661D2B9">
      <w:pPr>
        <w:spacing w:line="360" w:lineRule="auto"/>
        <w:ind w:firstLine="55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17.7</w:t>
      </w:r>
      <w:r>
        <w:rPr>
          <w:rFonts w:hint="eastAsia" w:ascii="宋体" w:hAnsi="宋体" w:eastAsia="宋体" w:cs="宋体"/>
          <w:color w:val="auto"/>
          <w:sz w:val="24"/>
          <w:highlight w:val="none"/>
          <w:lang w:eastAsia="zh-CN"/>
        </w:rPr>
        <w:t>供应商不得相互串通投标报价，不得妨碍其他供应商的公平竞争，不得损害采购人或其他供应商的合法权益，供应商不得以向采购人、评委会成员行贿或者采取其他不正当手段谋取中标。对上述作出</w:t>
      </w:r>
      <w:r>
        <w:rPr>
          <w:rFonts w:hint="eastAsia" w:ascii="宋体" w:hAnsi="宋体" w:eastAsia="宋体" w:cs="宋体"/>
          <w:color w:val="auto"/>
          <w:sz w:val="24"/>
          <w:highlight w:val="none"/>
          <w:lang w:val="en-US" w:eastAsia="zh-CN"/>
        </w:rPr>
        <w:t>书面声明</w:t>
      </w:r>
      <w:r>
        <w:rPr>
          <w:rFonts w:hint="eastAsia" w:ascii="宋体" w:hAnsi="宋体" w:eastAsia="宋体" w:cs="宋体"/>
          <w:color w:val="auto"/>
          <w:sz w:val="24"/>
          <w:highlight w:val="none"/>
          <w:lang w:eastAsia="zh-CN"/>
        </w:rPr>
        <w:t>并附响应文件中，否则视为不响应招标文件要求。</w:t>
      </w:r>
    </w:p>
    <w:p w14:paraId="421EB5B7">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18.投标内容填写及说明</w:t>
      </w:r>
    </w:p>
    <w:p w14:paraId="74CA6EBC">
      <w:pPr>
        <w:spacing w:line="360" w:lineRule="auto"/>
        <w:ind w:firstLine="54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18.1投标文件须对招标文件载明的投标资格、技术、资信、服务、报价等全部要求和条件做出实质性和完整的响应，</w:t>
      </w:r>
      <w:r>
        <w:rPr>
          <w:rFonts w:hint="eastAsia" w:ascii="宋体" w:hAnsi="宋体" w:cs="宋体"/>
          <w:color w:val="auto"/>
          <w:sz w:val="24"/>
          <w:highlight w:val="none"/>
          <w:lang w:val="en-US" w:eastAsia="zh-CN"/>
        </w:rPr>
        <w:t>并做出承诺，</w:t>
      </w:r>
      <w:r>
        <w:rPr>
          <w:rFonts w:hint="eastAsia" w:ascii="宋体" w:hAnsi="宋体" w:eastAsia="宋体" w:cs="宋体"/>
          <w:color w:val="auto"/>
          <w:sz w:val="24"/>
          <w:highlight w:val="none"/>
        </w:rPr>
        <w:t>如果投标文件填报的内容资料不详，或没有提供招标文件中所要求的全部资料、证明及数据，将导致投标无效。</w:t>
      </w:r>
    </w:p>
    <w:p w14:paraId="159E8250">
      <w:pPr>
        <w:pStyle w:val="30"/>
        <w:numPr>
          <w:ilvl w:val="0"/>
          <w:numId w:val="0"/>
        </w:numPr>
        <w:tabs>
          <w:tab w:val="left" w:pos="934"/>
        </w:tabs>
        <w:adjustRightInd w:val="0"/>
        <w:snapToGrid w:val="0"/>
        <w:spacing w:line="360" w:lineRule="auto"/>
        <w:ind w:left="440" w:leftChars="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18.2投标人应在投标文件中提交招标文件要求的有关证明文件（扫描或影印件上传），</w:t>
      </w:r>
      <w:r>
        <w:rPr>
          <w:rFonts w:hint="eastAsia" w:ascii="宋体" w:hAnsi="宋体" w:eastAsia="宋体" w:cs="宋体"/>
          <w:color w:val="auto"/>
          <w:sz w:val="24"/>
          <w:szCs w:val="24"/>
          <w:highlight w:val="none"/>
        </w:rPr>
        <w:t>有关证明的复印件/扫描件均需加盖公章，供应商提交的资料应签署“与原件一致”字样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highlight w:val="none"/>
        </w:rPr>
        <w:t>且一旦其响应被接受，谈判供应商有能力履行合同。作为其投标文件的一部分。</w:t>
      </w:r>
    </w:p>
    <w:p w14:paraId="1D33F7EB">
      <w:pPr>
        <w:pStyle w:val="30"/>
        <w:numPr>
          <w:ilvl w:val="0"/>
          <w:numId w:val="0"/>
        </w:numPr>
        <w:tabs>
          <w:tab w:val="left" w:pos="932"/>
        </w:tabs>
        <w:adjustRightInd w:val="0"/>
        <w:snapToGrid w:val="0"/>
        <w:spacing w:line="360" w:lineRule="auto"/>
        <w:ind w:leftChars="200" w:firstLine="480" w:firstLineChars="200"/>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sz w:val="24"/>
          <w:highlight w:val="none"/>
        </w:rPr>
        <w:t>18.3投标人应在投标文件中提交（以扫描件或影印件上传）招标文件要求的所有</w:t>
      </w:r>
      <w:r>
        <w:rPr>
          <w:rFonts w:hint="eastAsia" w:ascii="宋体" w:hAnsi="宋体" w:eastAsia="宋体" w:cs="宋体"/>
          <w:color w:val="auto"/>
          <w:kern w:val="2"/>
          <w:sz w:val="24"/>
          <w:szCs w:val="20"/>
          <w:highlight w:val="none"/>
          <w:lang w:val="en-US" w:eastAsia="zh-CN" w:bidi="ar-SA"/>
        </w:rPr>
        <w:t>服务的合格性以及符合招标文件规定的证明文件（可以是手册、图纸和资料）等，并保证所提供的全部资料的真实性、合法性，否则其响应性文件将作为无效处理。作为其投标文件的一部分。包括：</w:t>
      </w:r>
    </w:p>
    <w:p w14:paraId="51735AD8">
      <w:pPr>
        <w:pStyle w:val="30"/>
        <w:numPr>
          <w:ilvl w:val="0"/>
          <w:numId w:val="0"/>
        </w:numPr>
        <w:tabs>
          <w:tab w:val="left" w:pos="932"/>
        </w:tabs>
        <w:adjustRightInd w:val="0"/>
        <w:snapToGrid w:val="0"/>
        <w:spacing w:line="360" w:lineRule="auto"/>
        <w:ind w:firstLine="720" w:firstLineChars="300"/>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18.3.1服务主要性能（内容）的详细描述；</w:t>
      </w:r>
    </w:p>
    <w:p w14:paraId="7F9D3030">
      <w:pPr>
        <w:spacing w:line="360" w:lineRule="auto"/>
        <w:ind w:firstLine="763" w:firstLineChars="318"/>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18.3.2保证所投服务正常、安全、连续运行期间所需的所有备品、备件及专用工具的详细清单。</w:t>
      </w:r>
    </w:p>
    <w:p w14:paraId="1D32E8C7">
      <w:pPr>
        <w:spacing w:line="360" w:lineRule="auto"/>
        <w:ind w:firstLine="523" w:firstLineChars="218"/>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18.4投标文件应编排有序、内容齐全、不得任意涂改或增删。如有错漏处必须修改，应在修改处加盖投标人电子公章。</w:t>
      </w:r>
    </w:p>
    <w:p w14:paraId="3AF1A072">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19.投标保证金（免收）</w:t>
      </w:r>
    </w:p>
    <w:p w14:paraId="6BAAA8C0">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20.投标有效期</w:t>
      </w:r>
    </w:p>
    <w:p w14:paraId="5AA9DDF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20.1为保证采购人有足够的时间完成评标和与中标人签订合同，规定投标有效期。投标有效期期限见投标人须知前附表。</w:t>
      </w:r>
    </w:p>
    <w:p w14:paraId="4F113CDE">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20.2在投标有效期内，投标人的投标保持有效，投标人不得要求撤销或修改其投标文件。</w:t>
      </w:r>
    </w:p>
    <w:p w14:paraId="550B7FB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20.3投标有效期从投标截止日起计算。</w:t>
      </w:r>
    </w:p>
    <w:p w14:paraId="018C6AA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20.4在原定投标有效期满之前，如果出现特殊情况，</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3D88273A">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21.投标文件份数和签署</w:t>
      </w:r>
    </w:p>
    <w:p w14:paraId="594887BE">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21.1 投标人应按照投标人须知前附表的要求准备投标文件。</w:t>
      </w:r>
    </w:p>
    <w:p w14:paraId="11443173">
      <w:pPr>
        <w:spacing w:line="360" w:lineRule="auto"/>
        <w:ind w:firstLine="550"/>
        <w:rPr>
          <w:rFonts w:hint="eastAsia" w:ascii="宋体" w:hAnsi="宋体" w:eastAsia="宋体" w:cs="宋体"/>
          <w:b/>
          <w:color w:val="auto"/>
          <w:sz w:val="24"/>
          <w:highlight w:val="none"/>
        </w:rPr>
      </w:pPr>
      <w:r>
        <w:rPr>
          <w:rFonts w:hint="eastAsia" w:ascii="宋体" w:hAnsi="宋体" w:eastAsia="宋体" w:cs="宋体"/>
          <w:color w:val="auto"/>
          <w:sz w:val="24"/>
          <w:highlight w:val="none"/>
        </w:rPr>
        <w:t>21.2投标文件均应依招标文件要求加盖投标人电子签章</w:t>
      </w:r>
      <w:r>
        <w:rPr>
          <w:rFonts w:hint="eastAsia" w:ascii="宋体" w:hAnsi="宋体" w:eastAsia="宋体" w:cs="宋体"/>
          <w:b/>
          <w:color w:val="auto"/>
          <w:sz w:val="24"/>
          <w:highlight w:val="none"/>
        </w:rPr>
        <w:t>。</w:t>
      </w:r>
    </w:p>
    <w:p w14:paraId="6F7E2BBC">
      <w:pPr>
        <w:pStyle w:val="6"/>
        <w:spacing w:line="360" w:lineRule="auto"/>
        <w:ind w:firstLine="2715" w:firstLineChars="966"/>
        <w:jc w:val="both"/>
        <w:rPr>
          <w:rFonts w:hint="eastAsia" w:ascii="宋体" w:hAnsi="宋体" w:eastAsia="宋体" w:cs="宋体"/>
          <w:color w:val="auto"/>
          <w:sz w:val="28"/>
          <w:highlight w:val="none"/>
        </w:rPr>
      </w:pPr>
      <w:bookmarkStart w:id="112" w:name="_Hlt509650572"/>
      <w:bookmarkEnd w:id="112"/>
      <w:bookmarkStart w:id="113" w:name="_Toc527725925"/>
      <w:bookmarkStart w:id="114" w:name="_Toc3045"/>
      <w:bookmarkStart w:id="115" w:name="_Toc26995"/>
      <w:bookmarkStart w:id="116" w:name="_Toc860"/>
      <w:bookmarkStart w:id="117" w:name="_Toc40975445"/>
      <w:r>
        <w:rPr>
          <w:rFonts w:hint="eastAsia" w:ascii="宋体" w:hAnsi="宋体" w:eastAsia="宋体" w:cs="宋体"/>
          <w:color w:val="auto"/>
          <w:sz w:val="28"/>
          <w:highlight w:val="none"/>
        </w:rPr>
        <w:t>四．投标文件的递交</w:t>
      </w:r>
      <w:bookmarkEnd w:id="113"/>
      <w:bookmarkEnd w:id="114"/>
      <w:bookmarkEnd w:id="115"/>
      <w:bookmarkEnd w:id="116"/>
      <w:bookmarkEnd w:id="117"/>
      <w:bookmarkStart w:id="118" w:name="_Hlt509649414"/>
      <w:bookmarkEnd w:id="118"/>
    </w:p>
    <w:p w14:paraId="00FF987C">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22.投标文件的密封和标记</w:t>
      </w:r>
    </w:p>
    <w:p w14:paraId="0C541B89">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FE5D04C">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23.投标文件的递交 </w:t>
      </w:r>
    </w:p>
    <w:p w14:paraId="1108981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23.1投标人应当在招标文件要求提交投标文件的截止时间前网上投标。</w:t>
      </w:r>
    </w:p>
    <w:p w14:paraId="099437D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23.2在招标文件要求提交投标文件的截止时间之后制作上传的投标文件为无效投标文件，</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将拒绝接收。</w:t>
      </w:r>
    </w:p>
    <w:p w14:paraId="14EDE715">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24.投标文件的修改和撤回</w:t>
      </w:r>
    </w:p>
    <w:p w14:paraId="1224906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投标截止日期前，投标人可以修改或撤回其投标文件；在投标截止时间后，投标人不得再要求修改或撤回其投标文件。</w:t>
      </w:r>
    </w:p>
    <w:p w14:paraId="14B6D456">
      <w:pPr>
        <w:pStyle w:val="6"/>
        <w:spacing w:line="360" w:lineRule="auto"/>
        <w:ind w:firstLine="2996" w:firstLineChars="1066"/>
        <w:jc w:val="both"/>
        <w:rPr>
          <w:rFonts w:hint="eastAsia" w:ascii="宋体" w:hAnsi="宋体" w:eastAsia="宋体" w:cs="宋体"/>
          <w:color w:val="auto"/>
          <w:sz w:val="28"/>
          <w:highlight w:val="none"/>
        </w:rPr>
      </w:pPr>
      <w:bookmarkStart w:id="119" w:name="_Hlt509649294"/>
      <w:bookmarkEnd w:id="119"/>
      <w:bookmarkStart w:id="120" w:name="_Toc40975446"/>
      <w:bookmarkStart w:id="121" w:name="_Toc5128"/>
      <w:bookmarkStart w:id="122" w:name="_Toc527725926"/>
      <w:bookmarkStart w:id="123" w:name="_Toc11404"/>
      <w:bookmarkStart w:id="124" w:name="_Toc21729"/>
      <w:r>
        <w:rPr>
          <w:rFonts w:hint="eastAsia" w:ascii="宋体" w:hAnsi="宋体" w:eastAsia="宋体" w:cs="宋体"/>
          <w:color w:val="auto"/>
          <w:sz w:val="28"/>
          <w:highlight w:val="none"/>
        </w:rPr>
        <w:t>五．开标与评标</w:t>
      </w:r>
      <w:bookmarkEnd w:id="120"/>
      <w:bookmarkEnd w:id="121"/>
      <w:bookmarkEnd w:id="122"/>
      <w:bookmarkEnd w:id="123"/>
      <w:bookmarkEnd w:id="124"/>
    </w:p>
    <w:p w14:paraId="597BC51B">
      <w:pPr>
        <w:snapToGrid w:val="0"/>
        <w:spacing w:line="300" w:lineRule="auto"/>
        <w:ind w:firstLine="5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25.开标</w:t>
      </w:r>
    </w:p>
    <w:p w14:paraId="02D7CBC1">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25.1本项目实行网上远程开标无须到现场提交投标文件。投标文件提交及解密详见周口市公共资源交易中心网</w:t>
      </w:r>
      <w:r>
        <w:rPr>
          <w:rFonts w:hint="eastAsia" w:hAnsi="宋体" w:eastAsia="宋体" w:cs="宋体"/>
          <w:color w:val="auto"/>
          <w:sz w:val="24"/>
          <w:szCs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w:t>
      </w:r>
    </w:p>
    <w:p w14:paraId="6F2E6A94">
      <w:pPr>
        <w:spacing w:line="360" w:lineRule="auto"/>
        <w:ind w:firstLine="549"/>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25.2开标时，各投标单位应在规定时间内对本单位的投标文件现场解密。在解密投标文件开始时30分钟内进行解密，超时视为放弃递交投标文件。</w:t>
      </w:r>
    </w:p>
    <w:p w14:paraId="7EB3587C">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25.3投标资格及投标文件的法律文本将由评审委员会在评标前进行审查。资格不符合招标文件要求和相关法律规定的，投标无效。</w:t>
      </w:r>
    </w:p>
    <w:p w14:paraId="1609DD1D">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10ED2C19">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25.5在评审结束前，未得到周口市公共资源交易中心政府采购中心允许，投标人授权代表不得离开开标现场。</w:t>
      </w:r>
    </w:p>
    <w:p w14:paraId="1C8914A6">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26.投标文件的澄清、说明或补正</w:t>
      </w:r>
    </w:p>
    <w:p w14:paraId="63B3591B">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6ADE8657">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369D54F4">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开标一览表内容与投标文件中明细表内容不一致的，以开标一览表为准。</w:t>
      </w:r>
    </w:p>
    <w:p w14:paraId="00D60871">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26.4 如同时出现26.2条和26.3条所述的不一致情况，以开标一览表为准。</w:t>
      </w:r>
    </w:p>
    <w:p w14:paraId="252D1B58">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27.评标</w:t>
      </w:r>
    </w:p>
    <w:p w14:paraId="32F4E503">
      <w:pPr>
        <w:spacing w:line="360" w:lineRule="auto"/>
        <w:ind w:firstLine="523" w:firstLineChars="218"/>
        <w:rPr>
          <w:rFonts w:hint="eastAsia" w:ascii="宋体" w:hAnsi="宋体" w:eastAsia="宋体" w:cs="宋体"/>
          <w:b/>
          <w:color w:val="auto"/>
          <w:sz w:val="24"/>
          <w:highlight w:val="none"/>
        </w:rPr>
      </w:pPr>
      <w:r>
        <w:rPr>
          <w:rFonts w:hint="eastAsia" w:ascii="宋体" w:hAnsi="宋体" w:eastAsia="宋体" w:cs="宋体"/>
          <w:color w:val="auto"/>
          <w:sz w:val="24"/>
          <w:highlight w:val="none"/>
        </w:rPr>
        <w:t>27.1 评委会将按照招标文件规定的评标办法对投标人独立进行投标评审。投标评审分为符合性审查和综合评分。</w:t>
      </w:r>
    </w:p>
    <w:p w14:paraId="4EC5D5D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62C15A1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有下列情形之一的，评标委员会应当否决其投标：</w:t>
      </w:r>
    </w:p>
    <w:p w14:paraId="7C1B398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27.2.1投标文件未经投标单位电子签章的；</w:t>
      </w:r>
    </w:p>
    <w:p w14:paraId="4E9B2C25">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27.2.2投标联合体没有提交共同投标协议；</w:t>
      </w:r>
    </w:p>
    <w:p w14:paraId="2908515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27.2.3投标人不符合国家或者招标文件规定的资格条件；</w:t>
      </w:r>
    </w:p>
    <w:p w14:paraId="78A706C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27.2.4同一投标人提交两个以上不同的投标文件或者投标报价，但招标文件要求提交备选投标的除外；</w:t>
      </w:r>
    </w:p>
    <w:p w14:paraId="35DEC17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27.2.5投标报价或者某些分项报价明显不合理或者低于成本，有可能影响商品质量和不能诚信履约；</w:t>
      </w:r>
    </w:p>
    <w:p w14:paraId="553A7DD0">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27.2.6投标报价高于招标文件设定的最高投标限价；</w:t>
      </w:r>
    </w:p>
    <w:p w14:paraId="29AFA89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27.2.7投标文件没有对招标文件的实质性要求和条件作出响应；</w:t>
      </w:r>
    </w:p>
    <w:p w14:paraId="6515D3F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27.2.8投标人有串通投标、弄虚作假、行贿等违法行为；</w:t>
      </w:r>
    </w:p>
    <w:p w14:paraId="40A5F00E">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27.2.8 不同投标人在同一台计算机上制作投标文件的；</w:t>
      </w:r>
    </w:p>
    <w:p w14:paraId="442DA04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27.3如果投标文件未通过投标符合性审查，投标无效。</w:t>
      </w:r>
    </w:p>
    <w:p w14:paraId="46C595FD">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27.4评委会决定投标文件的响应性及符合性只根据投标文件本身的内容，不寻求其他外部证据。</w:t>
      </w:r>
    </w:p>
    <w:p w14:paraId="6ED287B1">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28</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废标处理</w:t>
      </w:r>
    </w:p>
    <w:p w14:paraId="032BBD3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28.1在招标采购中，出现下列情形之一的，周口市公共资源交易中心政府采购中心有权宣布废标：</w:t>
      </w:r>
    </w:p>
    <w:p w14:paraId="6D8DF1CA">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28.1.1符合专业条件的投标人或对招标文件作实质响应的投标人不足三家的；</w:t>
      </w:r>
    </w:p>
    <w:p w14:paraId="54556441">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28.1.2投标人的报价均超过采购预算，采购人不能支付的；</w:t>
      </w:r>
    </w:p>
    <w:p w14:paraId="66BDE45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28.1.3出现影响采购公正的违法、违规行为的；</w:t>
      </w:r>
    </w:p>
    <w:p w14:paraId="59FA66F6">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28.1.4因重大变故，采购任务取消的。</w:t>
      </w:r>
    </w:p>
    <w:p w14:paraId="7A7D983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废标后，周口市公共资源交易中心政府采购中心会把废标理由通知所有投标人。</w:t>
      </w:r>
    </w:p>
    <w:p w14:paraId="6C4F113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127D35B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28.2.1放弃参加投标的；</w:t>
      </w:r>
    </w:p>
    <w:p w14:paraId="477C4B1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28.2.2未经周口市公共资源交易中心政府采购中心允许，离开开标现场通知不上的；</w:t>
      </w:r>
    </w:p>
    <w:p w14:paraId="58862004">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28.2.3不符合招标文件列明的专业条件的；</w:t>
      </w:r>
    </w:p>
    <w:p w14:paraId="70B2FD3E">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28.2.4未按规定交纳谈判保证金的；</w:t>
      </w:r>
    </w:p>
    <w:p w14:paraId="4476A50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28.2.5有影响采购公正的违法、违规行为造成项目废标的；</w:t>
      </w:r>
    </w:p>
    <w:p w14:paraId="517F6D09">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28.2.6其他不符合竞争性谈判条件的情况。</w:t>
      </w:r>
    </w:p>
    <w:p w14:paraId="1224581D">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28.3采购方式现场改为竞争性谈判时，</w:t>
      </w:r>
      <w:r>
        <w:rPr>
          <w:rFonts w:hint="eastAsia" w:ascii="宋体" w:hAnsi="宋体" w:eastAsia="宋体" w:cs="宋体"/>
          <w:color w:val="auto"/>
          <w:sz w:val="24"/>
          <w:highlight w:val="none"/>
        </w:rPr>
        <w:t>周口市公共资源交易中心政府采购中心</w:t>
      </w:r>
      <w:r>
        <w:rPr>
          <w:rFonts w:hint="eastAsia" w:ascii="宋体" w:hAnsi="宋体" w:eastAsia="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B8CEDED">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0A901A9E">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010DB223">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28.3.3在谈判内容不作实质性变更及重大调整的前提下，投标人次轮报价不得高于上一轮报价。</w:t>
      </w:r>
    </w:p>
    <w:p w14:paraId="7E60F3CA">
      <w:pPr>
        <w:spacing w:line="360" w:lineRule="auto"/>
        <w:ind w:firstLine="549"/>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28.4</w:t>
      </w:r>
      <w:r>
        <w:rPr>
          <w:rFonts w:hint="eastAsia" w:ascii="宋体" w:hAnsi="宋体" w:eastAsia="宋体" w:cs="宋体"/>
          <w:color w:val="auto"/>
          <w:sz w:val="24"/>
          <w:szCs w:val="24"/>
          <w:highlight w:val="none"/>
        </w:rPr>
        <w:t>委托代理人未提供养老保险证明和劳动合同的</w:t>
      </w:r>
      <w:r>
        <w:rPr>
          <w:rFonts w:hint="eastAsia" w:ascii="宋体" w:hAnsi="宋体" w:eastAsia="宋体" w:cs="宋体"/>
          <w:color w:val="auto"/>
          <w:sz w:val="24"/>
          <w:szCs w:val="24"/>
          <w:highlight w:val="none"/>
          <w:lang w:val="en-US"/>
        </w:rPr>
        <w:t>；</w:t>
      </w:r>
    </w:p>
    <w:p w14:paraId="079E7542">
      <w:pPr>
        <w:spacing w:line="360" w:lineRule="auto"/>
        <w:ind w:firstLine="54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28.5</w:t>
      </w:r>
      <w:r>
        <w:rPr>
          <w:rFonts w:hint="eastAsia" w:ascii="宋体" w:hAnsi="宋体" w:eastAsia="宋体" w:cs="宋体"/>
          <w:color w:val="auto"/>
          <w:sz w:val="24"/>
          <w:szCs w:val="24"/>
          <w:highlight w:val="none"/>
        </w:rPr>
        <w:t>对投标质量、付款方式无承诺的；售后服务不满足招标文件要求的</w:t>
      </w:r>
      <w:r>
        <w:rPr>
          <w:rFonts w:hint="eastAsia" w:ascii="宋体" w:hAnsi="宋体" w:eastAsia="宋体" w:cs="宋体"/>
          <w:color w:val="auto"/>
          <w:sz w:val="24"/>
          <w:szCs w:val="24"/>
          <w:highlight w:val="none"/>
          <w:lang w:val="en-US" w:eastAsia="zh-CN"/>
        </w:rPr>
        <w:t>；</w:t>
      </w:r>
    </w:p>
    <w:p w14:paraId="59E9B057">
      <w:pPr>
        <w:spacing w:line="360" w:lineRule="auto"/>
        <w:ind w:firstLine="549"/>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28.6</w:t>
      </w:r>
      <w:r>
        <w:rPr>
          <w:rFonts w:hint="eastAsia" w:ascii="宋体" w:hAnsi="宋体" w:eastAsia="宋体" w:cs="宋体"/>
          <w:color w:val="auto"/>
          <w:sz w:val="24"/>
          <w:szCs w:val="24"/>
          <w:highlight w:val="none"/>
        </w:rPr>
        <w:t>供应商提交的资料</w:t>
      </w:r>
      <w:r>
        <w:rPr>
          <w:rFonts w:hint="eastAsia" w:ascii="宋体" w:hAnsi="宋体" w:eastAsia="宋体" w:cs="宋体"/>
          <w:color w:val="auto"/>
          <w:sz w:val="24"/>
          <w:szCs w:val="24"/>
          <w:highlight w:val="none"/>
          <w:lang w:eastAsia="zh-CN"/>
        </w:rPr>
        <w:t>未</w:t>
      </w:r>
      <w:r>
        <w:rPr>
          <w:rFonts w:hint="eastAsia" w:ascii="宋体" w:hAnsi="宋体" w:eastAsia="宋体" w:cs="宋体"/>
          <w:color w:val="auto"/>
          <w:sz w:val="24"/>
          <w:szCs w:val="24"/>
          <w:highlight w:val="none"/>
        </w:rPr>
        <w:t>标注“与原件一致”字样。</w:t>
      </w:r>
    </w:p>
    <w:p w14:paraId="18D3BC1B">
      <w:pPr>
        <w:spacing w:line="360" w:lineRule="auto"/>
        <w:ind w:firstLine="54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29.二次采购</w:t>
      </w:r>
    </w:p>
    <w:p w14:paraId="4474CB3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项目废标后，周口市公共资源交易中心政府采购中心可能发布二次公告（投标邀请），进行二次采购。</w:t>
      </w:r>
    </w:p>
    <w:p w14:paraId="28C0C59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前款所述“二次”，系指项目废标后的重新公告及采购，并不仅限于项目的第二次公告及采购。</w:t>
      </w:r>
    </w:p>
    <w:p w14:paraId="00664F7D">
      <w:pPr>
        <w:pStyle w:val="6"/>
        <w:spacing w:line="360" w:lineRule="auto"/>
        <w:ind w:firstLine="2715" w:firstLineChars="966"/>
        <w:jc w:val="both"/>
        <w:rPr>
          <w:rFonts w:hint="eastAsia" w:ascii="宋体" w:hAnsi="宋体" w:eastAsia="宋体" w:cs="宋体"/>
          <w:color w:val="auto"/>
          <w:sz w:val="28"/>
          <w:highlight w:val="none"/>
        </w:rPr>
      </w:pPr>
      <w:bookmarkStart w:id="125" w:name="_Toc7660"/>
      <w:bookmarkStart w:id="126" w:name="_Toc527725927"/>
      <w:bookmarkStart w:id="127" w:name="_Toc516969091"/>
      <w:bookmarkStart w:id="128" w:name="_Toc40975447"/>
      <w:bookmarkStart w:id="129" w:name="_Toc20916"/>
      <w:bookmarkStart w:id="130" w:name="_Toc32663"/>
      <w:r>
        <w:rPr>
          <w:rFonts w:hint="eastAsia" w:ascii="宋体" w:hAnsi="宋体" w:eastAsia="宋体" w:cs="宋体"/>
          <w:color w:val="auto"/>
          <w:sz w:val="28"/>
          <w:highlight w:val="none"/>
        </w:rPr>
        <w:t>六．定标与签订合同</w:t>
      </w:r>
      <w:bookmarkEnd w:id="125"/>
      <w:bookmarkEnd w:id="126"/>
      <w:bookmarkEnd w:id="127"/>
      <w:bookmarkEnd w:id="128"/>
      <w:bookmarkEnd w:id="129"/>
      <w:bookmarkEnd w:id="130"/>
    </w:p>
    <w:p w14:paraId="2B9FFBEF">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30.定标</w:t>
      </w:r>
    </w:p>
    <w:p w14:paraId="2618101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30.1 投标符合性审查后，评委会应当按招标文件规定的综合评分办法提出独立评审意见，推荐中标候选人。</w:t>
      </w:r>
    </w:p>
    <w:p w14:paraId="75C9492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30.2采购人应当自收到评审报告之日起5个工作日内在评审报告推荐的中标或者成交候选人中按顺序确定中标或者成交供应商。</w:t>
      </w:r>
    </w:p>
    <w:p w14:paraId="58AEF6D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029B3C1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2BB9F8F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30.4原则上把合同授予实质上响应招标文件要求的排名最前的中标候选人或通过上条资格审查的中标候选人。</w:t>
      </w:r>
    </w:p>
    <w:p w14:paraId="0A953D67">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30.5 最低报价并不是中标的保证。</w:t>
      </w:r>
    </w:p>
    <w:p w14:paraId="0EFD353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30.6凡发现中标候选人有下列行为之一的，其中标无效，并移交政府采购监督管理部门依法处理：</w:t>
      </w:r>
    </w:p>
    <w:p w14:paraId="4EC56D19">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 以他人名义投标、或提供虚假材料弄虚作假谋取中标的；</w:t>
      </w:r>
    </w:p>
    <w:p w14:paraId="773106BB">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30.6.1.1以他人名义投标，是指使用通过受让或者租借等方式获取的资格、资质证书投标。</w:t>
      </w:r>
    </w:p>
    <w:p w14:paraId="585D1F96">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30.6.1.2有投标人有下列情形之一的，属于弄虚作假的行为：</w:t>
      </w:r>
    </w:p>
    <w:p w14:paraId="24F31839">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30.6.1.2.1使用伪造、变造的许可证件；</w:t>
      </w:r>
    </w:p>
    <w:p w14:paraId="0AA4B803">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30.6.1.2.2提供虚假的财务状况或者业绩；</w:t>
      </w:r>
    </w:p>
    <w:p w14:paraId="19F93AB4">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30.6.1.2.3提供虚假的项目负责人或者主要技术人员简历、劳动关系证明；</w:t>
      </w:r>
    </w:p>
    <w:p w14:paraId="40C0D352">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30.6.1.2.4提供虚假的信用状况；</w:t>
      </w:r>
    </w:p>
    <w:p w14:paraId="5062D543">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30.6.1.2.5其他弄虚作假的行为。</w:t>
      </w:r>
    </w:p>
    <w:p w14:paraId="3AE38873">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30.6.2与采购人、其他供应商或者采购代理机构名称工作人员恶意串通的；</w:t>
      </w:r>
    </w:p>
    <w:p w14:paraId="03959441">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30.6.3向采购人、评审专家、采购代理机构工作人员行贿或者提供其他不正当利益的；</w:t>
      </w:r>
    </w:p>
    <w:p w14:paraId="3E9BAED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30.6.4有法律、法规规定的其他损害采购人利益和社会公共利益情形的；</w:t>
      </w:r>
    </w:p>
    <w:p w14:paraId="4CD0ECA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30.6.5其他违反招投标法律、法规和规章强制性规定的行为。</w:t>
      </w:r>
    </w:p>
    <w:p w14:paraId="495785A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30.7周口市公共资源交易中心政府采购中心将在政府采购相关网站上发布评审结果公告。</w:t>
      </w:r>
    </w:p>
    <w:p w14:paraId="71ECFEB8">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31.中标通知书</w:t>
      </w:r>
    </w:p>
    <w:p w14:paraId="66560F1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31.1</w:t>
      </w:r>
      <w:r>
        <w:rPr>
          <w:rFonts w:hint="eastAsia" w:ascii="宋体" w:hAnsi="宋体" w:cs="宋体"/>
          <w:color w:val="auto"/>
          <w:sz w:val="24"/>
          <w:highlight w:val="none"/>
          <w:lang w:val="en-US" w:eastAsia="zh-CN"/>
        </w:rPr>
        <w:t>在发出中标公告后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rPr>
        <w:t>中标通知书。</w:t>
      </w:r>
    </w:p>
    <w:p w14:paraId="37EAB23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31.2周口市公共资源交易中心政府采购中心对未中标的投标人不做未中标原因的解释。</w:t>
      </w:r>
    </w:p>
    <w:p w14:paraId="5B3820D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31.3评审结果确定后，中标人请及时到周口市公共资源交易中心政府采购中心领取中标通知书。</w:t>
      </w:r>
    </w:p>
    <w:p w14:paraId="62A579AB">
      <w:pPr>
        <w:spacing w:line="360" w:lineRule="auto"/>
        <w:ind w:firstLine="54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32.中标服务费</w:t>
      </w:r>
    </w:p>
    <w:p w14:paraId="31A59377">
      <w:pPr>
        <w:spacing w:line="360" w:lineRule="auto"/>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r>
        <w:rPr>
          <w:rFonts w:hint="eastAsia" w:ascii="宋体" w:hAnsi="宋体" w:eastAsia="宋体" w:cs="宋体"/>
          <w:bCs/>
          <w:color w:val="auto"/>
          <w:sz w:val="24"/>
          <w:highlight w:val="none"/>
        </w:rPr>
        <w:t>本项目免收中标服务费</w:t>
      </w:r>
    </w:p>
    <w:p w14:paraId="257F33AC">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33.履约保证金</w:t>
      </w:r>
    </w:p>
    <w:p w14:paraId="07F5DF13">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无</w:t>
      </w:r>
    </w:p>
    <w:p w14:paraId="1B9262D1">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34.签订合同</w:t>
      </w:r>
    </w:p>
    <w:p w14:paraId="764296A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34.1中标人应在中标通知书发出之日起七日历日内（具体时间、地点见中标通知书）与采购人签订合同。招标文件、中标人的投标文件及澄清文件等，均作为合同的附件。</w:t>
      </w:r>
    </w:p>
    <w:p w14:paraId="0102A5C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09CA65BA">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34.3采购人保留以书面形式要求合同的卖方对其所投服务的装运方式、交货地点及服务细则等作适当调整的权利。</w:t>
      </w:r>
    </w:p>
    <w:p w14:paraId="15CE928C">
      <w:pPr>
        <w:spacing w:line="360" w:lineRule="auto"/>
        <w:ind w:firstLine="549"/>
        <w:rPr>
          <w:rFonts w:hint="eastAsia" w:ascii="宋体" w:hAnsi="宋体" w:eastAsia="宋体" w:cs="宋体"/>
          <w:color w:val="auto"/>
          <w:sz w:val="24"/>
          <w:highlight w:val="none"/>
        </w:rPr>
      </w:pPr>
      <w:r>
        <w:rPr>
          <w:rFonts w:hint="eastAsia" w:ascii="宋体" w:hAnsi="宋体" w:eastAsia="宋体" w:cs="宋体"/>
          <w:b/>
          <w:color w:val="auto"/>
          <w:sz w:val="24"/>
          <w:highlight w:val="none"/>
        </w:rPr>
        <w:t>35.验收</w:t>
      </w:r>
    </w:p>
    <w:p w14:paraId="7E24DE1E">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由采购人自行组织对供应商的履约验收。</w:t>
      </w:r>
    </w:p>
    <w:p w14:paraId="471544F4">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36</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质疑</w:t>
      </w:r>
    </w:p>
    <w:p w14:paraId="3B0B7AD9">
      <w:pPr>
        <w:spacing w:line="360" w:lineRule="auto"/>
        <w:ind w:firstLine="523" w:firstLineChars="218"/>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36.1</w:t>
      </w:r>
      <w:r>
        <w:rPr>
          <w:rFonts w:hint="eastAsia" w:ascii="宋体" w:hAnsi="宋体" w:cs="宋体"/>
          <w:bCs/>
          <w:color w:val="auto"/>
          <w:sz w:val="24"/>
          <w:highlight w:val="none"/>
        </w:rPr>
        <w:t>投标人认为采购过程、中标结果使自己的合法权益受到损害的，可以在知道或应当知道自己的权益受到损害之日起7个工作日内，由投标人授权代表（或法人代表）</w:t>
      </w:r>
      <w:r>
        <w:rPr>
          <w:rFonts w:hint="eastAsia" w:ascii="宋体" w:hAnsi="宋体" w:cs="宋体"/>
          <w:bCs/>
          <w:color w:val="auto"/>
          <w:sz w:val="24"/>
          <w:highlight w:val="none"/>
          <w:lang w:val="en-US" w:eastAsia="zh-CN"/>
        </w:rPr>
        <w:t>按照相关规定</w:t>
      </w:r>
      <w:r>
        <w:rPr>
          <w:rFonts w:hint="eastAsia" w:ascii="宋体" w:hAnsi="宋体" w:cs="宋体"/>
          <w:bCs/>
          <w:color w:val="auto"/>
          <w:sz w:val="24"/>
          <w:highlight w:val="none"/>
        </w:rPr>
        <w:t>，向</w:t>
      </w:r>
      <w:r>
        <w:rPr>
          <w:rFonts w:hint="eastAsia" w:ascii="宋体" w:hAnsi="宋体" w:cs="宋体"/>
          <w:color w:val="auto"/>
          <w:sz w:val="24"/>
          <w:highlight w:val="none"/>
        </w:rPr>
        <w:t>采购人</w:t>
      </w:r>
      <w:r>
        <w:rPr>
          <w:rFonts w:hint="eastAsia" w:ascii="宋体" w:hAnsi="宋体" w:cs="宋体"/>
          <w:bCs/>
          <w:color w:val="auto"/>
          <w:sz w:val="24"/>
          <w:highlight w:val="none"/>
        </w:rPr>
        <w:t>提出质疑，逾期不予受理。</w:t>
      </w:r>
    </w:p>
    <w:p w14:paraId="77004B90">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36.2质疑书内容应包括质疑的详细理由和依据，并提供有关证明资料。</w:t>
      </w:r>
    </w:p>
    <w:p w14:paraId="7D60C803">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 有以下情形之一的，视为无效质疑：</w:t>
      </w:r>
    </w:p>
    <w:p w14:paraId="0F376812">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36.3.1 未按规定时间或规定手续提交质疑的；</w:t>
      </w:r>
    </w:p>
    <w:p w14:paraId="1F30B611">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36.3.2 质疑内容含糊不清、没有提供详细理由和依据，无法进行核查的；</w:t>
      </w:r>
    </w:p>
    <w:p w14:paraId="33A1B6C4">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36.3.3 其他不符合质疑程序和有关规定的。</w:t>
      </w:r>
    </w:p>
    <w:p w14:paraId="1F9917E1">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被判定无效质疑的，采购人将书面回复投标单位其质疑无效的理由，并记录无效质疑一次。</w:t>
      </w:r>
    </w:p>
    <w:p w14:paraId="72CEDBC8">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36.4</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将在受到书面质疑后7个工作日内审查质疑事项，作出答复或相关处理决定，并以书面形式通知质疑人，但答复的内容不涉及商业秘密。</w:t>
      </w:r>
    </w:p>
    <w:p w14:paraId="641518F6">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36.5</w:t>
      </w:r>
      <w:r>
        <w:rPr>
          <w:rFonts w:hint="eastAsia" w:ascii="宋体" w:hAnsi="宋体" w:eastAsia="宋体" w:cs="宋体"/>
          <w:bCs/>
          <w:color w:val="auto"/>
          <w:sz w:val="24"/>
          <w:highlight w:val="none"/>
        </w:rPr>
        <w:t>投诉人有下列情形之一的，属于虚假、恶意投诉，</w:t>
      </w:r>
      <w:r>
        <w:rPr>
          <w:rFonts w:hint="eastAsia" w:ascii="宋体" w:hAnsi="宋体" w:eastAsia="宋体" w:cs="宋体"/>
          <w:color w:val="auto"/>
          <w:sz w:val="24"/>
          <w:highlight w:val="none"/>
        </w:rPr>
        <w:t>政府采购监督管理部门</w:t>
      </w:r>
      <w:r>
        <w:rPr>
          <w:rFonts w:hint="eastAsia" w:ascii="宋体" w:hAnsi="宋体" w:eastAsia="宋体" w:cs="宋体"/>
          <w:bCs/>
          <w:color w:val="auto"/>
          <w:sz w:val="24"/>
          <w:highlight w:val="none"/>
        </w:rPr>
        <w:t>将驳回投诉，将其列入不良行为记录名单，并依法予以处罚：</w:t>
      </w:r>
    </w:p>
    <w:p w14:paraId="23FE9B1B">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36.5.1一年内三次以上投诉均查无实据的；</w:t>
      </w:r>
    </w:p>
    <w:p w14:paraId="55A8E27F">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36.5.2捏造事实、提供虚假投诉材料或提供以非法手段取得的证明材料质疑的；</w:t>
      </w:r>
    </w:p>
    <w:p w14:paraId="39147C88">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36.5.3其他经认定属于虚假、恶意投诉的行为</w:t>
      </w:r>
      <w:r>
        <w:rPr>
          <w:rFonts w:hint="eastAsia" w:ascii="宋体" w:hAnsi="宋体" w:eastAsia="宋体" w:cs="宋体"/>
          <w:bCs/>
          <w:color w:val="auto"/>
          <w:sz w:val="24"/>
          <w:highlight w:val="none"/>
        </w:rPr>
        <w:t>。</w:t>
      </w:r>
    </w:p>
    <w:p w14:paraId="09D5395E">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37.未尽事宜</w:t>
      </w:r>
    </w:p>
    <w:p w14:paraId="299B0ED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37.1按《中华人民共和国政府采购法》及其他有关法律法规的规定执行。</w:t>
      </w:r>
    </w:p>
    <w:p w14:paraId="1CF200FE">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38.解释权</w:t>
      </w:r>
    </w:p>
    <w:p w14:paraId="30741B19">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38.1本招标文件的解释权属于采购人。</w:t>
      </w:r>
    </w:p>
    <w:p w14:paraId="06D15A89">
      <w:pPr>
        <w:spacing w:line="360" w:lineRule="auto"/>
        <w:rPr>
          <w:rFonts w:hint="eastAsia" w:ascii="宋体" w:hAnsi="宋体" w:eastAsia="宋体" w:cs="宋体"/>
          <w:bCs/>
          <w:color w:val="auto"/>
          <w:sz w:val="24"/>
          <w:highlight w:val="none"/>
        </w:rPr>
      </w:pPr>
    </w:p>
    <w:p w14:paraId="20E2FBFB">
      <w:pPr>
        <w:pStyle w:val="31"/>
        <w:spacing w:beforeLines="0" w:afterLines="0" w:line="460" w:lineRule="exact"/>
        <w:ind w:left="0" w:firstLine="420" w:firstLineChars="200"/>
        <w:jc w:val="center"/>
        <w:rPr>
          <w:rFonts w:hint="eastAsia" w:ascii="宋体" w:hAnsi="宋体" w:eastAsia="宋体" w:cs="宋体"/>
          <w:color w:val="auto"/>
          <w:sz w:val="32"/>
          <w:szCs w:val="32"/>
          <w:highlight w:val="none"/>
        </w:rPr>
      </w:pPr>
      <w:bookmarkStart w:id="131" w:name="_Toc220232391"/>
      <w:bookmarkStart w:id="132" w:name="_Toc26087_WPSOffice_Level1"/>
      <w:r>
        <w:rPr>
          <w:rFonts w:hint="eastAsia" w:ascii="宋体" w:hAnsi="宋体" w:eastAsia="宋体" w:cs="宋体"/>
          <w:color w:val="auto"/>
          <w:highlight w:val="none"/>
        </w:rPr>
        <w:br w:type="page"/>
      </w:r>
      <w:bookmarkEnd w:id="131"/>
      <w:bookmarkEnd w:id="132"/>
    </w:p>
    <w:p w14:paraId="0586BDD1">
      <w:pPr>
        <w:pStyle w:val="31"/>
        <w:spacing w:beforeLines="0" w:afterLines="0" w:line="460" w:lineRule="exact"/>
        <w:ind w:left="0"/>
        <w:jc w:val="center"/>
        <w:rPr>
          <w:rFonts w:hint="eastAsia" w:ascii="宋体" w:hAnsi="宋体" w:eastAsia="宋体" w:cs="宋体"/>
          <w:b/>
          <w:bCs/>
          <w:color w:val="auto"/>
          <w:kern w:val="2"/>
          <w:sz w:val="32"/>
          <w:szCs w:val="32"/>
          <w:highlight w:val="none"/>
          <w:lang w:val="en-US" w:eastAsia="zh-CN" w:bidi="ar-SA"/>
        </w:rPr>
      </w:pPr>
    </w:p>
    <w:p w14:paraId="10CE1187">
      <w:pPr>
        <w:pStyle w:val="5"/>
        <w:spacing w:before="0" w:after="0" w:line="500" w:lineRule="exact"/>
        <w:ind w:firstLine="0"/>
        <w:jc w:val="center"/>
        <w:rPr>
          <w:rFonts w:hint="eastAsia" w:ascii="宋体" w:hAnsi="宋体" w:eastAsia="宋体" w:cs="宋体"/>
          <w:color w:val="auto"/>
          <w:w w:val="92"/>
          <w:highlight w:val="none"/>
          <w:lang w:val="en-US"/>
        </w:rPr>
      </w:pPr>
      <w:r>
        <w:rPr>
          <w:rFonts w:hint="eastAsia" w:ascii="宋体" w:hAnsi="宋体" w:eastAsia="宋体" w:cs="宋体"/>
          <w:bCs/>
          <w:caps/>
          <w:smallCaps/>
          <w:color w:val="auto"/>
          <w:sz w:val="32"/>
          <w:szCs w:val="32"/>
          <w:highlight w:val="none"/>
          <w:lang w:val="en-US"/>
        </w:rPr>
        <w:t>第六章</w:t>
      </w:r>
    </w:p>
    <w:p w14:paraId="0E007E4A">
      <w:pPr>
        <w:pStyle w:val="5"/>
        <w:spacing w:before="0" w:after="0" w:line="500" w:lineRule="exact"/>
        <w:ind w:firstLine="0"/>
        <w:rPr>
          <w:rFonts w:hint="eastAsia" w:ascii="宋体" w:hAnsi="宋体" w:eastAsia="宋体" w:cs="宋体"/>
          <w:b w:val="0"/>
          <w:color w:val="auto"/>
          <w:sz w:val="32"/>
          <w:szCs w:val="32"/>
          <w:highlight w:val="none"/>
          <w:lang w:val="en-US"/>
        </w:rPr>
      </w:pPr>
      <w:r>
        <w:rPr>
          <w:rFonts w:hint="eastAsia" w:ascii="宋体" w:hAnsi="宋体" w:eastAsia="宋体" w:cs="宋体"/>
          <w:b w:val="0"/>
          <w:color w:val="auto"/>
          <w:w w:val="92"/>
          <w:sz w:val="32"/>
          <w:szCs w:val="32"/>
          <w:highlight w:val="none"/>
          <w:lang w:val="en-US"/>
        </w:rPr>
        <w:t>周口市</w:t>
      </w:r>
      <w:r>
        <w:rPr>
          <w:rFonts w:hint="eastAsia" w:ascii="宋体" w:hAnsi="宋体" w:eastAsia="宋体" w:cs="宋体"/>
          <w:b w:val="0"/>
          <w:color w:val="auto"/>
          <w:sz w:val="32"/>
          <w:szCs w:val="32"/>
          <w:highlight w:val="none"/>
          <w:lang w:val="en-US"/>
        </w:rPr>
        <w:t>政府采购合同（服务类）标准文本</w:t>
      </w:r>
    </w:p>
    <w:p w14:paraId="638ADD83">
      <w:pPr>
        <w:ind w:firstLine="640" w:firstLineChars="200"/>
        <w:jc w:val="both"/>
        <w:rPr>
          <w:rFonts w:hint="eastAsia" w:ascii="宋体" w:hAnsi="宋体" w:eastAsia="宋体" w:cs="宋体"/>
          <w:color w:val="auto"/>
          <w:sz w:val="32"/>
          <w:szCs w:val="32"/>
          <w:highlight w:val="none"/>
          <w:lang w:val="en-US"/>
        </w:rPr>
      </w:pPr>
    </w:p>
    <w:p w14:paraId="32C740F6">
      <w:pPr>
        <w:pStyle w:val="31"/>
        <w:spacing w:beforeLines="0" w:afterLines="0"/>
        <w:ind w:left="0" w:firstLine="640" w:firstLineChars="200"/>
        <w:jc w:val="both"/>
        <w:rPr>
          <w:rFonts w:hint="eastAsia" w:ascii="宋体" w:hAnsi="宋体" w:eastAsia="宋体" w:cs="宋体"/>
          <w:color w:val="auto"/>
          <w:sz w:val="32"/>
          <w:szCs w:val="32"/>
          <w:highlight w:val="none"/>
          <w:lang w:val="en-US"/>
        </w:rPr>
      </w:pPr>
    </w:p>
    <w:p w14:paraId="3BF80567">
      <w:pPr>
        <w:pStyle w:val="31"/>
        <w:spacing w:beforeLines="0" w:afterLines="0"/>
        <w:ind w:left="0" w:firstLine="640" w:firstLineChars="200"/>
        <w:jc w:val="both"/>
        <w:rPr>
          <w:rFonts w:hint="eastAsia" w:ascii="宋体" w:hAnsi="宋体" w:eastAsia="宋体" w:cs="宋体"/>
          <w:color w:val="auto"/>
          <w:sz w:val="32"/>
          <w:szCs w:val="32"/>
          <w:highlight w:val="none"/>
          <w:lang w:val="en-US"/>
        </w:rPr>
      </w:pPr>
    </w:p>
    <w:p w14:paraId="6A1FAC80">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30877DA6">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2D795BCD">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1DE60289">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0544BD7A">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30F751A0">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48FBC9B5">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47AA64FC">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25C60979">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6D8354D6">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72FFDB34">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2CFC6E6A">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0D6D505A">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350D1176">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4D1573FF">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0C967642">
      <w:pPr>
        <w:pStyle w:val="3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463B7DB0">
      <w:pPr>
        <w:pStyle w:val="31"/>
        <w:spacing w:beforeLines="0" w:afterLines="0" w:line="440" w:lineRule="exact"/>
        <w:ind w:left="0"/>
        <w:jc w:val="both"/>
        <w:rPr>
          <w:rFonts w:hint="eastAsia" w:ascii="宋体" w:hAnsi="宋体" w:eastAsia="宋体" w:cs="宋体"/>
          <w:color w:val="auto"/>
          <w:sz w:val="30"/>
          <w:szCs w:val="30"/>
          <w:highlight w:val="none"/>
        </w:rPr>
      </w:pPr>
    </w:p>
    <w:p w14:paraId="10E28508">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7DAF2829">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1C2EAA86">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5C9E56E9">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71549D62">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543AE19E">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63ECB4B0">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135E972">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02C3A995">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191140FE">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55ADDD31">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3565B4F5">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19FF6566">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331165F2">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2ED2B341">
      <w:pPr>
        <w:pStyle w:val="31"/>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17DB4406">
      <w:pPr>
        <w:pStyle w:val="31"/>
        <w:spacing w:beforeLines="0" w:afterLines="0" w:line="440" w:lineRule="exact"/>
        <w:ind w:left="0"/>
        <w:jc w:val="center"/>
        <w:rPr>
          <w:rFonts w:hint="eastAsia" w:ascii="宋体" w:hAnsi="宋体" w:eastAsia="宋体" w:cs="宋体"/>
          <w:bCs/>
          <w:color w:val="auto"/>
          <w:sz w:val="32"/>
          <w:szCs w:val="32"/>
          <w:highlight w:val="none"/>
        </w:rPr>
      </w:pPr>
    </w:p>
    <w:p w14:paraId="7927179A">
      <w:pPr>
        <w:pStyle w:val="3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42D8AECE">
      <w:pPr>
        <w:pStyle w:val="31"/>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4B663C42">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1613D4BD">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5F423AAD">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73664430">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36054FA3">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2674AE37">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6721C72E">
      <w:pPr>
        <w:pStyle w:val="5"/>
        <w:spacing w:before="0" w:after="0" w:line="500" w:lineRule="exact"/>
        <w:ind w:firstLine="0"/>
        <w:jc w:val="both"/>
        <w:rPr>
          <w:rFonts w:hint="eastAsia" w:ascii="宋体" w:hAnsi="宋体" w:eastAsia="宋体" w:cs="宋体"/>
          <w:b w:val="0"/>
          <w:bCs w:val="0"/>
          <w:color w:val="auto"/>
          <w:sz w:val="21"/>
          <w:szCs w:val="21"/>
          <w:highlight w:val="none"/>
        </w:rPr>
      </w:pPr>
    </w:p>
    <w:p w14:paraId="6AE1C90E">
      <w:pPr>
        <w:pStyle w:val="5"/>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683B4609">
      <w:pPr>
        <w:spacing w:line="360" w:lineRule="auto"/>
        <w:ind w:firstLine="420" w:firstLineChars="200"/>
        <w:jc w:val="both"/>
        <w:rPr>
          <w:rFonts w:hint="eastAsia" w:ascii="宋体" w:hAnsi="宋体" w:eastAsia="宋体" w:cs="宋体"/>
          <w:color w:val="auto"/>
          <w:szCs w:val="27"/>
          <w:highlight w:val="none"/>
        </w:rPr>
      </w:pPr>
    </w:p>
    <w:p w14:paraId="38D41BD4">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062D5229">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072FDACD">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71AA97FC">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77379785">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00A423B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7BFF712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zCs w:val="27"/>
          <w:highlight w:val="none"/>
          <w:lang w:val="en-US" w:eastAsia="zh-CN"/>
        </w:rPr>
        <w:t>政府</w:t>
      </w:r>
      <w:r>
        <w:rPr>
          <w:rFonts w:hint="eastAsia" w:ascii="宋体" w:hAnsi="宋体" w:eastAsia="宋体" w:cs="宋体"/>
          <w:color w:val="auto"/>
          <w:szCs w:val="27"/>
          <w:highlight w:val="none"/>
        </w:rPr>
        <w:t>采购法》、《中华人民共和国合同法》之规定，经甲乙双方充分协商，特订立本合同，以便共同遵守。</w:t>
      </w:r>
    </w:p>
    <w:p w14:paraId="28419E40">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7946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30DFCD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62AD33C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75829A1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2FC292B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0EDC468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29EC75B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556FDDE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427F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2978EF6">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0390512B">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9C6BED7">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2356C9CB">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70B8F5EA">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182D18F9">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07E3872B">
            <w:pPr>
              <w:spacing w:line="360" w:lineRule="auto"/>
              <w:ind w:firstLine="420" w:firstLineChars="200"/>
              <w:jc w:val="both"/>
              <w:rPr>
                <w:rFonts w:hint="eastAsia" w:ascii="宋体" w:hAnsi="宋体" w:eastAsia="宋体" w:cs="宋体"/>
                <w:color w:val="auto"/>
                <w:highlight w:val="none"/>
              </w:rPr>
            </w:pPr>
          </w:p>
        </w:tc>
      </w:tr>
      <w:tr w14:paraId="339C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33F7874">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660DD998">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35CFD42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96FB3AC">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29342FE5">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7752B13B">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0384DBF8">
            <w:pPr>
              <w:spacing w:line="360" w:lineRule="auto"/>
              <w:ind w:firstLine="420" w:firstLineChars="200"/>
              <w:jc w:val="both"/>
              <w:rPr>
                <w:rFonts w:hint="eastAsia" w:ascii="宋体" w:hAnsi="宋体" w:eastAsia="宋体" w:cs="宋体"/>
                <w:color w:val="auto"/>
                <w:highlight w:val="none"/>
              </w:rPr>
            </w:pPr>
          </w:p>
        </w:tc>
      </w:tr>
      <w:tr w14:paraId="71CE5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D977073">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4503F4C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901D602">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34A86164">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5262FF71">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34C22FE5">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783E31FB">
            <w:pPr>
              <w:spacing w:line="360" w:lineRule="auto"/>
              <w:ind w:firstLine="420" w:firstLineChars="200"/>
              <w:jc w:val="both"/>
              <w:rPr>
                <w:rFonts w:hint="eastAsia" w:ascii="宋体" w:hAnsi="宋体" w:eastAsia="宋体" w:cs="宋体"/>
                <w:color w:val="auto"/>
                <w:highlight w:val="none"/>
              </w:rPr>
            </w:pPr>
          </w:p>
        </w:tc>
      </w:tr>
      <w:tr w14:paraId="59B9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4EC27B9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41E5193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54A1CABE">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6FF35394">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1974DE7F">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44F73E8F">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35F35A3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2627A79A">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1A25734E">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065C7E60">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0FCCA79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602E0AF4">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6A2123C7">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44C81365">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39B99F60">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4B16915C">
      <w:pPr>
        <w:pStyle w:val="9"/>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4FE94CD5">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1DFF72B0">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029BFA8A">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2E3D14FA">
      <w:pPr>
        <w:pStyle w:val="9"/>
        <w:kinsoku w:val="0"/>
        <w:overflowPunct w:val="0"/>
        <w:ind w:left="0" w:firstLine="56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295BF09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793D6A8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475FDBA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540B6C7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122F4011">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6FCCF25E">
      <w:pPr>
        <w:pStyle w:val="31"/>
        <w:spacing w:beforeLines="0" w:afterLines="0"/>
        <w:ind w:left="0" w:firstLine="562" w:firstLineChars="200"/>
        <w:jc w:val="both"/>
        <w:rPr>
          <w:rFonts w:hint="eastAsia" w:ascii="宋体" w:hAnsi="宋体" w:eastAsia="宋体" w:cs="宋体"/>
          <w:b/>
          <w:color w:val="auto"/>
          <w:kern w:val="2"/>
          <w:sz w:val="28"/>
          <w:szCs w:val="20"/>
          <w:highlight w:val="none"/>
          <w:lang w:val="en-US" w:eastAsia="zh-CN" w:bidi="ar-SA"/>
        </w:rPr>
      </w:pPr>
      <w:r>
        <w:rPr>
          <w:rFonts w:hint="eastAsia" w:ascii="宋体" w:hAnsi="宋体" w:eastAsia="宋体" w:cs="宋体"/>
          <w:b/>
          <w:color w:val="auto"/>
          <w:kern w:val="2"/>
          <w:sz w:val="28"/>
          <w:szCs w:val="20"/>
          <w:highlight w:val="none"/>
          <w:lang w:val="en-US" w:eastAsia="zh-CN" w:bidi="ar-SA"/>
        </w:rPr>
        <w:t>第六条  验收方法</w:t>
      </w:r>
    </w:p>
    <w:p w14:paraId="0220AF6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C1D9B8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9D6CF9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3CCC89C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2FCD5556">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0F936484">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0466972C">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5F9032C6">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第八条 无产权瑕疵条款</w:t>
      </w:r>
    </w:p>
    <w:p w14:paraId="17B4E99C">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171D7C1D">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0C07517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3FBB8E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7F769D76">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374036B7">
      <w:pPr>
        <w:pStyle w:val="4"/>
        <w:kinsoku w:val="0"/>
        <w:overflowPunct w:val="0"/>
        <w:spacing w:line="400" w:lineRule="exact"/>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第十条 甲方的权利和义务</w:t>
      </w:r>
    </w:p>
    <w:p w14:paraId="4BF1294C">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5D5F43DC">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5DA958D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60CE65A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272B7CB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6C6529BA">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0134209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2890E25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123C26F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0DEC22DC">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08F35EC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3B50249C">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77F94410">
      <w:pPr>
        <w:pStyle w:val="9"/>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63F9F643">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22A392E2">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4E4438E">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52CE76BF">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46E6BA1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4D32A18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5E914830">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70AE641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788003E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07D769B4">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第十五条 不可抗力事件处理</w:t>
      </w:r>
    </w:p>
    <w:p w14:paraId="53452F9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7FFE111">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0252C19">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第十六条 合同纠纷调处</w:t>
      </w:r>
    </w:p>
    <w:p w14:paraId="5F51BDC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0E5B7B21">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30D195F9">
      <w:pPr>
        <w:pStyle w:val="4"/>
        <w:kinsoku w:val="0"/>
        <w:overflowPunct w:val="0"/>
        <w:ind w:left="0" w:firstLine="602" w:firstLineChars="200"/>
        <w:jc w:val="both"/>
        <w:rPr>
          <w:rFonts w:hint="eastAsia" w:ascii="宋体" w:hAnsi="宋体" w:eastAsia="宋体" w:cs="宋体"/>
          <w:color w:val="auto"/>
          <w:szCs w:val="27"/>
          <w:highlight w:val="none"/>
          <w:lang w:val="en-US"/>
        </w:rPr>
      </w:pPr>
      <w:r>
        <w:rPr>
          <w:rFonts w:hint="eastAsia" w:ascii="宋体" w:hAnsi="宋体" w:eastAsia="宋体" w:cs="宋体"/>
          <w:color w:val="auto"/>
          <w:szCs w:val="27"/>
          <w:highlight w:val="none"/>
          <w:lang w:val="en-US"/>
        </w:rPr>
        <w:t>3、</w:t>
      </w:r>
      <w:r>
        <w:rPr>
          <w:rFonts w:hint="eastAsia" w:ascii="宋体" w:hAnsi="宋体" w:eastAsia="宋体" w:cs="宋体"/>
          <w:b w:val="0"/>
          <w:bCs w:val="0"/>
          <w:color w:val="auto"/>
          <w:kern w:val="2"/>
          <w:sz w:val="21"/>
          <w:szCs w:val="27"/>
          <w:highlight w:val="none"/>
          <w:lang w:val="en-US" w:eastAsia="zh-CN" w:bidi="ar-SA"/>
        </w:rPr>
        <w:t>甲、乙双方均有权利向本项目具有监管职能的政府采购监督管理部门举报反映对方在合同履约中的违法违纪行为。</w:t>
      </w:r>
    </w:p>
    <w:p w14:paraId="61055228">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57718F67">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998127D">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09C036AC">
      <w:pPr>
        <w:spacing w:line="360" w:lineRule="auto"/>
        <w:ind w:firstLine="420" w:firstLineChars="200"/>
        <w:jc w:val="both"/>
        <w:rPr>
          <w:rFonts w:hint="eastAsia" w:ascii="宋体" w:hAnsi="宋体" w:eastAsia="宋体" w:cs="宋体"/>
          <w:color w:val="auto"/>
          <w:szCs w:val="27"/>
          <w:highlight w:val="none"/>
        </w:rPr>
      </w:pPr>
    </w:p>
    <w:p w14:paraId="1F66E15C">
      <w:pPr>
        <w:pStyle w:val="26"/>
        <w:ind w:firstLine="240"/>
        <w:rPr>
          <w:rFonts w:hint="eastAsia" w:ascii="宋体" w:hAnsi="宋体" w:eastAsia="宋体" w:cs="宋体"/>
          <w:color w:val="auto"/>
          <w:highlight w:val="none"/>
        </w:rPr>
      </w:pPr>
    </w:p>
    <w:p w14:paraId="67F6965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4BF3C5C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50C15636">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48952413">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2494917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0364490D">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446FB47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00928728">
      <w:pPr>
        <w:spacing w:line="640" w:lineRule="exact"/>
        <w:ind w:firstLine="420" w:firstLineChars="200"/>
        <w:jc w:val="both"/>
        <w:rPr>
          <w:rFonts w:hint="eastAsia" w:ascii="宋体" w:hAnsi="宋体" w:eastAsia="宋体" w:cs="宋体"/>
          <w:color w:val="auto"/>
          <w:szCs w:val="27"/>
          <w:highlight w:val="none"/>
          <w:u w:val="single"/>
        </w:rPr>
      </w:pPr>
    </w:p>
    <w:p w14:paraId="1E88CEAA">
      <w:pPr>
        <w:spacing w:line="900" w:lineRule="exact"/>
        <w:jc w:val="center"/>
        <w:rPr>
          <w:rFonts w:hint="eastAsia" w:ascii="宋体" w:hAnsi="宋体" w:eastAsia="宋体" w:cs="宋体"/>
          <w:color w:val="auto"/>
          <w:szCs w:val="27"/>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p>
    <w:p w14:paraId="7CAEEA5E">
      <w:pPr>
        <w:pStyle w:val="26"/>
        <w:rPr>
          <w:rFonts w:hint="eastAsia" w:ascii="宋体" w:hAnsi="宋体" w:eastAsia="宋体" w:cs="宋体"/>
          <w:color w:val="auto"/>
          <w:szCs w:val="27"/>
          <w:highlight w:val="none"/>
        </w:rPr>
      </w:pPr>
    </w:p>
    <w:p w14:paraId="12F92EA5">
      <w:pPr>
        <w:pStyle w:val="26"/>
        <w:rPr>
          <w:rFonts w:hint="eastAsia" w:ascii="宋体" w:hAnsi="宋体" w:eastAsia="宋体" w:cs="宋体"/>
          <w:color w:val="auto"/>
          <w:szCs w:val="27"/>
          <w:highlight w:val="none"/>
        </w:rPr>
      </w:pPr>
    </w:p>
    <w:p w14:paraId="6C4C2A06">
      <w:pPr>
        <w:pStyle w:val="26"/>
        <w:rPr>
          <w:rFonts w:hint="eastAsia" w:ascii="宋体" w:hAnsi="宋体" w:eastAsia="宋体" w:cs="宋体"/>
          <w:color w:val="auto"/>
          <w:szCs w:val="27"/>
          <w:highlight w:val="none"/>
        </w:rPr>
      </w:pPr>
    </w:p>
    <w:p w14:paraId="7A2961C9">
      <w:pPr>
        <w:pStyle w:val="26"/>
        <w:rPr>
          <w:rFonts w:hint="eastAsia" w:ascii="宋体" w:hAnsi="宋体" w:eastAsia="宋体" w:cs="宋体"/>
          <w:color w:val="auto"/>
          <w:szCs w:val="27"/>
          <w:highlight w:val="none"/>
        </w:rPr>
      </w:pPr>
    </w:p>
    <w:p w14:paraId="00D1A692">
      <w:pPr>
        <w:pStyle w:val="26"/>
        <w:rPr>
          <w:rFonts w:hint="eastAsia" w:ascii="宋体" w:hAnsi="宋体" w:eastAsia="宋体" w:cs="宋体"/>
          <w:color w:val="auto"/>
          <w:szCs w:val="27"/>
          <w:highlight w:val="none"/>
        </w:rPr>
      </w:pPr>
    </w:p>
    <w:p w14:paraId="0A3A353C">
      <w:pPr>
        <w:pStyle w:val="26"/>
        <w:rPr>
          <w:rFonts w:hint="eastAsia" w:ascii="宋体" w:hAnsi="宋体" w:eastAsia="宋体" w:cs="宋体"/>
          <w:color w:val="auto"/>
          <w:szCs w:val="27"/>
          <w:highlight w:val="none"/>
        </w:rPr>
      </w:pPr>
    </w:p>
    <w:p w14:paraId="068AC79B">
      <w:pPr>
        <w:pStyle w:val="26"/>
        <w:rPr>
          <w:rFonts w:hint="eastAsia" w:ascii="宋体" w:hAnsi="宋体" w:eastAsia="宋体" w:cs="宋体"/>
          <w:color w:val="auto"/>
          <w:szCs w:val="27"/>
          <w:highlight w:val="none"/>
        </w:rPr>
      </w:pPr>
    </w:p>
    <w:p w14:paraId="2B1A34CB">
      <w:pPr>
        <w:pStyle w:val="26"/>
        <w:rPr>
          <w:rFonts w:hint="eastAsia" w:ascii="宋体" w:hAnsi="宋体" w:eastAsia="宋体" w:cs="宋体"/>
          <w:color w:val="auto"/>
          <w:szCs w:val="27"/>
          <w:highlight w:val="none"/>
        </w:rPr>
      </w:pPr>
    </w:p>
    <w:p w14:paraId="03BAB437">
      <w:pPr>
        <w:pStyle w:val="26"/>
        <w:rPr>
          <w:rFonts w:hint="eastAsia" w:ascii="宋体" w:hAnsi="宋体" w:eastAsia="宋体" w:cs="宋体"/>
          <w:color w:val="auto"/>
          <w:szCs w:val="27"/>
          <w:highlight w:val="none"/>
        </w:rPr>
      </w:pPr>
    </w:p>
    <w:p w14:paraId="0DF45F3D">
      <w:pPr>
        <w:pStyle w:val="26"/>
        <w:rPr>
          <w:rFonts w:hint="eastAsia" w:ascii="宋体" w:hAnsi="宋体" w:eastAsia="宋体" w:cs="宋体"/>
          <w:color w:val="auto"/>
          <w:szCs w:val="27"/>
          <w:highlight w:val="none"/>
        </w:rPr>
      </w:pPr>
    </w:p>
    <w:p w14:paraId="342F31A3">
      <w:pPr>
        <w:pStyle w:val="26"/>
        <w:rPr>
          <w:rFonts w:hint="eastAsia" w:ascii="宋体" w:hAnsi="宋体" w:eastAsia="宋体" w:cs="宋体"/>
          <w:color w:val="auto"/>
          <w:szCs w:val="27"/>
          <w:highlight w:val="none"/>
        </w:rPr>
      </w:pPr>
    </w:p>
    <w:p w14:paraId="2C0BC670">
      <w:pPr>
        <w:pStyle w:val="26"/>
        <w:rPr>
          <w:rFonts w:hint="eastAsia" w:ascii="宋体" w:hAnsi="宋体" w:eastAsia="宋体" w:cs="宋体"/>
          <w:color w:val="auto"/>
          <w:szCs w:val="27"/>
          <w:highlight w:val="none"/>
        </w:rPr>
      </w:pPr>
    </w:p>
    <w:p w14:paraId="01EBAF41">
      <w:pPr>
        <w:pStyle w:val="4"/>
        <w:bidi w:val="0"/>
        <w:rPr>
          <w:rFonts w:hint="eastAsia" w:ascii="宋体" w:hAnsi="宋体" w:eastAsia="宋体" w:cs="宋体"/>
          <w:color w:val="auto"/>
          <w:highlight w:val="none"/>
        </w:rPr>
      </w:pPr>
      <w:bookmarkStart w:id="133" w:name="_Toc30894"/>
      <w:r>
        <w:rPr>
          <w:rFonts w:hint="eastAsia" w:ascii="宋体" w:hAnsi="宋体" w:eastAsia="宋体" w:cs="宋体"/>
          <w:color w:val="auto"/>
          <w:highlight w:val="none"/>
        </w:rPr>
        <w:t>第七章 投标文件格式</w:t>
      </w:r>
      <w:bookmarkEnd w:id="52"/>
      <w:bookmarkEnd w:id="133"/>
    </w:p>
    <w:p w14:paraId="25BD3B60">
      <w:pPr>
        <w:spacing w:line="90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****项目</w:t>
      </w:r>
    </w:p>
    <w:p w14:paraId="3A118A61">
      <w:pPr>
        <w:pStyle w:val="18"/>
        <w:rPr>
          <w:rFonts w:hint="eastAsia" w:ascii="宋体" w:hAnsi="宋体" w:eastAsia="宋体" w:cs="宋体"/>
          <w:color w:val="auto"/>
          <w:highlight w:val="none"/>
        </w:rPr>
      </w:pPr>
    </w:p>
    <w:p w14:paraId="555C226C">
      <w:pPr>
        <w:spacing w:line="900" w:lineRule="exact"/>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投</w:t>
      </w:r>
    </w:p>
    <w:p w14:paraId="6477F82F">
      <w:pPr>
        <w:spacing w:line="900" w:lineRule="exact"/>
        <w:jc w:val="center"/>
        <w:rPr>
          <w:rFonts w:hint="eastAsia" w:ascii="宋体" w:hAnsi="宋体" w:eastAsia="宋体" w:cs="宋体"/>
          <w:b/>
          <w:color w:val="auto"/>
          <w:sz w:val="72"/>
          <w:highlight w:val="none"/>
        </w:rPr>
      </w:pPr>
    </w:p>
    <w:p w14:paraId="192FBE75">
      <w:pPr>
        <w:spacing w:line="900" w:lineRule="exact"/>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标</w:t>
      </w:r>
    </w:p>
    <w:p w14:paraId="247DC591">
      <w:pPr>
        <w:spacing w:line="900" w:lineRule="exact"/>
        <w:jc w:val="center"/>
        <w:rPr>
          <w:rFonts w:hint="eastAsia" w:ascii="宋体" w:hAnsi="宋体" w:eastAsia="宋体" w:cs="宋体"/>
          <w:b/>
          <w:color w:val="auto"/>
          <w:sz w:val="72"/>
          <w:highlight w:val="none"/>
        </w:rPr>
      </w:pPr>
    </w:p>
    <w:p w14:paraId="4F7541F1">
      <w:pPr>
        <w:spacing w:line="900" w:lineRule="exact"/>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文</w:t>
      </w:r>
    </w:p>
    <w:p w14:paraId="5542DB9A">
      <w:pPr>
        <w:spacing w:line="900" w:lineRule="exact"/>
        <w:jc w:val="center"/>
        <w:rPr>
          <w:rFonts w:hint="eastAsia" w:ascii="宋体" w:hAnsi="宋体" w:eastAsia="宋体" w:cs="宋体"/>
          <w:b/>
          <w:color w:val="auto"/>
          <w:sz w:val="72"/>
          <w:highlight w:val="none"/>
        </w:rPr>
      </w:pPr>
    </w:p>
    <w:p w14:paraId="4E63CC4A">
      <w:pPr>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件</w:t>
      </w:r>
    </w:p>
    <w:p w14:paraId="1D0E788B">
      <w:pPr>
        <w:spacing w:after="120" w:afterLines="50" w:line="500" w:lineRule="exact"/>
        <w:rPr>
          <w:rFonts w:hint="eastAsia" w:ascii="宋体" w:hAnsi="宋体" w:eastAsia="宋体" w:cs="宋体"/>
          <w:b/>
          <w:color w:val="auto"/>
          <w:sz w:val="32"/>
          <w:highlight w:val="none"/>
          <w:u w:val="single"/>
        </w:rPr>
      </w:pPr>
      <w:r>
        <w:rPr>
          <w:rFonts w:hint="eastAsia" w:ascii="宋体" w:hAnsi="宋体" w:eastAsia="宋体" w:cs="宋体"/>
          <w:b/>
          <w:color w:val="auto"/>
          <w:sz w:val="30"/>
          <w:highlight w:val="none"/>
        </w:rPr>
        <w:t xml:space="preserve">                 </w:t>
      </w:r>
      <w:r>
        <w:rPr>
          <w:rFonts w:hint="eastAsia" w:ascii="宋体" w:hAnsi="宋体" w:eastAsia="宋体" w:cs="宋体"/>
          <w:b/>
          <w:color w:val="auto"/>
          <w:sz w:val="32"/>
          <w:highlight w:val="none"/>
        </w:rPr>
        <w:t>投标人：</w:t>
      </w:r>
      <w:r>
        <w:rPr>
          <w:rFonts w:hint="eastAsia" w:ascii="宋体" w:hAnsi="宋体" w:eastAsia="宋体" w:cs="宋体"/>
          <w:b/>
          <w:color w:val="auto"/>
          <w:sz w:val="32"/>
          <w:highlight w:val="none"/>
          <w:u w:val="single"/>
        </w:rPr>
        <w:t xml:space="preserve">               </w:t>
      </w:r>
    </w:p>
    <w:p w14:paraId="263B763F">
      <w:pPr>
        <w:spacing w:after="120" w:afterLines="50" w:line="500" w:lineRule="exact"/>
        <w:jc w:val="center"/>
        <w:rPr>
          <w:rFonts w:hint="eastAsia" w:ascii="宋体" w:hAnsi="宋体" w:eastAsia="宋体" w:cs="宋体"/>
          <w:color w:val="auto"/>
          <w:highlight w:val="none"/>
        </w:rPr>
      </w:pPr>
      <w:r>
        <w:rPr>
          <w:rFonts w:hint="eastAsia" w:ascii="宋体" w:hAnsi="宋体" w:eastAsia="宋体" w:cs="宋体"/>
          <w:b/>
          <w:color w:val="auto"/>
          <w:sz w:val="32"/>
          <w:highlight w:val="none"/>
          <w:u w:val="single"/>
        </w:rPr>
        <w:t xml:space="preserve"> </w:t>
      </w:r>
      <w:bookmarkStart w:id="134" w:name="_Toc5567_WPSOffice_Level2"/>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u w:val="single"/>
        </w:rPr>
        <w:t xml:space="preserve"> </w:t>
      </w:r>
      <w:r>
        <w:rPr>
          <w:rFonts w:hint="eastAsia" w:ascii="宋体" w:hAnsi="宋体" w:eastAsia="宋体" w:cs="宋体"/>
          <w:b/>
          <w:color w:val="auto"/>
          <w:sz w:val="32"/>
          <w:highlight w:val="none"/>
        </w:rPr>
        <w:t>月</w:t>
      </w:r>
      <w:r>
        <w:rPr>
          <w:rFonts w:hint="eastAsia" w:ascii="宋体" w:hAnsi="宋体" w:eastAsia="宋体" w:cs="宋体"/>
          <w:b/>
          <w:color w:val="auto"/>
          <w:sz w:val="32"/>
          <w:highlight w:val="none"/>
          <w:u w:val="single"/>
        </w:rPr>
        <w:t xml:space="preserve"> </w:t>
      </w:r>
      <w:r>
        <w:rPr>
          <w:rFonts w:hint="eastAsia" w:ascii="宋体" w:hAnsi="宋体" w:eastAsia="宋体" w:cs="宋体"/>
          <w:b/>
          <w:color w:val="auto"/>
          <w:sz w:val="32"/>
          <w:highlight w:val="none"/>
        </w:rPr>
        <w:t>日</w:t>
      </w:r>
      <w:bookmarkEnd w:id="134"/>
      <w:bookmarkStart w:id="135" w:name="_Hlt50174722"/>
      <w:bookmarkEnd w:id="135"/>
      <w:bookmarkStart w:id="136" w:name="_Hlt519045470"/>
      <w:bookmarkEnd w:id="136"/>
      <w:bookmarkStart w:id="137" w:name="_Hlt50174972"/>
      <w:bookmarkEnd w:id="137"/>
      <w:bookmarkStart w:id="138" w:name="_Hlt50174708"/>
      <w:bookmarkEnd w:id="138"/>
      <w:bookmarkStart w:id="139" w:name="_Hlt519068595"/>
      <w:bookmarkEnd w:id="139"/>
      <w:bookmarkStart w:id="140" w:name="_Hlt533408877"/>
      <w:bookmarkEnd w:id="140"/>
      <w:bookmarkStart w:id="141" w:name="_Hlt519045391"/>
      <w:bookmarkStart w:id="142" w:name="_Hlt509738521"/>
      <w:bookmarkStart w:id="143" w:name="_Hlt509738509"/>
    </w:p>
    <w:p w14:paraId="50BDF4B8">
      <w:pPr>
        <w:pStyle w:val="18"/>
        <w:rPr>
          <w:rFonts w:hint="eastAsia" w:ascii="宋体" w:hAnsi="宋体" w:eastAsia="宋体" w:cs="宋体"/>
          <w:color w:val="auto"/>
          <w:highlight w:val="none"/>
        </w:rPr>
      </w:pPr>
    </w:p>
    <w:p w14:paraId="3F586CA7">
      <w:pPr>
        <w:pStyle w:val="18"/>
        <w:rPr>
          <w:rFonts w:hint="eastAsia" w:ascii="宋体" w:hAnsi="宋体" w:eastAsia="宋体" w:cs="宋体"/>
          <w:color w:val="auto"/>
          <w:highlight w:val="none"/>
        </w:rPr>
      </w:pPr>
    </w:p>
    <w:p w14:paraId="7915AB95">
      <w:pPr>
        <w:pStyle w:val="18"/>
        <w:rPr>
          <w:rFonts w:hint="eastAsia" w:ascii="宋体" w:hAnsi="宋体" w:eastAsia="宋体" w:cs="宋体"/>
          <w:color w:val="auto"/>
          <w:highlight w:val="none"/>
        </w:rPr>
      </w:pPr>
    </w:p>
    <w:p w14:paraId="3D78DAB2">
      <w:pPr>
        <w:pStyle w:val="18"/>
        <w:rPr>
          <w:rFonts w:hint="eastAsia" w:ascii="宋体" w:hAnsi="宋体" w:eastAsia="宋体" w:cs="宋体"/>
          <w:color w:val="auto"/>
          <w:highlight w:val="none"/>
        </w:rPr>
      </w:pPr>
    </w:p>
    <w:p w14:paraId="6AD5367C">
      <w:pPr>
        <w:pStyle w:val="18"/>
        <w:rPr>
          <w:rFonts w:hint="eastAsia" w:ascii="宋体" w:hAnsi="宋体" w:eastAsia="宋体" w:cs="宋体"/>
          <w:color w:val="auto"/>
          <w:highlight w:val="none"/>
        </w:rPr>
      </w:pPr>
    </w:p>
    <w:p w14:paraId="3573B2E6">
      <w:pPr>
        <w:pStyle w:val="18"/>
        <w:rPr>
          <w:rFonts w:hint="eastAsia" w:ascii="宋体" w:hAnsi="宋体" w:eastAsia="宋体" w:cs="宋体"/>
          <w:color w:val="auto"/>
          <w:highlight w:val="none"/>
        </w:rPr>
      </w:pPr>
    </w:p>
    <w:p w14:paraId="41597CF0">
      <w:pPr>
        <w:pStyle w:val="18"/>
        <w:rPr>
          <w:rFonts w:hint="eastAsia" w:ascii="宋体" w:hAnsi="宋体" w:eastAsia="宋体" w:cs="宋体"/>
          <w:color w:val="auto"/>
          <w:highlight w:val="none"/>
        </w:rPr>
      </w:pPr>
    </w:p>
    <w:p w14:paraId="408F34DD">
      <w:pPr>
        <w:pStyle w:val="18"/>
        <w:rPr>
          <w:rFonts w:hint="eastAsia" w:ascii="宋体" w:hAnsi="宋体" w:eastAsia="宋体" w:cs="宋体"/>
          <w:color w:val="auto"/>
          <w:highlight w:val="none"/>
        </w:rPr>
      </w:pPr>
    </w:p>
    <w:p w14:paraId="6EAC9FD0">
      <w:pPr>
        <w:pStyle w:val="18"/>
        <w:rPr>
          <w:rFonts w:hint="eastAsia" w:ascii="宋体" w:hAnsi="宋体" w:eastAsia="宋体" w:cs="宋体"/>
          <w:color w:val="auto"/>
          <w:highlight w:val="none"/>
        </w:rPr>
      </w:pPr>
    </w:p>
    <w:p w14:paraId="6CE4F17C">
      <w:pPr>
        <w:pStyle w:val="20"/>
        <w:rPr>
          <w:rFonts w:hint="eastAsia" w:ascii="宋体" w:hAnsi="宋体" w:eastAsia="宋体" w:cs="宋体"/>
          <w:color w:val="auto"/>
          <w:highlight w:val="none"/>
        </w:rPr>
      </w:pPr>
      <w:bookmarkStart w:id="144" w:name="_Toc20284_WPSOffice_Level2"/>
      <w:r>
        <w:rPr>
          <w:rFonts w:hint="eastAsia" w:ascii="宋体" w:hAnsi="宋体" w:eastAsia="宋体" w:cs="宋体"/>
          <w:color w:val="auto"/>
          <w:highlight w:val="none"/>
        </w:rPr>
        <w:br w:type="page"/>
      </w:r>
      <w:r>
        <w:rPr>
          <w:rFonts w:hint="eastAsia" w:ascii="宋体" w:hAnsi="宋体" w:eastAsia="宋体" w:cs="宋体"/>
          <w:color w:val="auto"/>
          <w:highlight w:val="none"/>
        </w:rPr>
        <w:t>投标文件资料清单</w:t>
      </w:r>
      <w:bookmarkEnd w:id="144"/>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32CA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AC35675">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5460" w:type="dxa"/>
            <w:noWrap w:val="0"/>
            <w:vAlign w:val="center"/>
          </w:tcPr>
          <w:p w14:paraId="5B2EF02F">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资料名称</w:t>
            </w:r>
          </w:p>
        </w:tc>
        <w:tc>
          <w:tcPr>
            <w:tcW w:w="1854" w:type="dxa"/>
            <w:noWrap w:val="0"/>
            <w:vAlign w:val="center"/>
          </w:tcPr>
          <w:p w14:paraId="4C678E60">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页码范围</w:t>
            </w:r>
          </w:p>
        </w:tc>
      </w:tr>
      <w:tr w14:paraId="41BAA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066685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一</w:t>
            </w:r>
          </w:p>
        </w:tc>
        <w:tc>
          <w:tcPr>
            <w:tcW w:w="5460" w:type="dxa"/>
            <w:noWrap w:val="0"/>
            <w:vAlign w:val="center"/>
          </w:tcPr>
          <w:p w14:paraId="26CBC6F6">
            <w:pPr>
              <w:rPr>
                <w:rFonts w:hint="eastAsia" w:ascii="宋体" w:hAnsi="宋体" w:eastAsia="宋体" w:cs="宋体"/>
                <w:color w:val="auto"/>
                <w:highlight w:val="none"/>
                <w:u w:val="single"/>
              </w:rPr>
            </w:pPr>
            <w:r>
              <w:rPr>
                <w:rFonts w:hint="eastAsia" w:ascii="宋体" w:hAnsi="宋体" w:eastAsia="宋体" w:cs="宋体"/>
                <w:bCs/>
                <w:color w:val="auto"/>
                <w:sz w:val="24"/>
                <w:highlight w:val="none"/>
              </w:rPr>
              <w:t>开标一览表</w:t>
            </w:r>
          </w:p>
        </w:tc>
        <w:tc>
          <w:tcPr>
            <w:tcW w:w="1854" w:type="dxa"/>
            <w:noWrap w:val="0"/>
            <w:vAlign w:val="center"/>
          </w:tcPr>
          <w:p w14:paraId="64F379AC">
            <w:pPr>
              <w:spacing w:line="360" w:lineRule="auto"/>
              <w:jc w:val="center"/>
              <w:rPr>
                <w:rFonts w:hint="eastAsia" w:ascii="宋体" w:hAnsi="宋体" w:eastAsia="宋体" w:cs="宋体"/>
                <w:b/>
                <w:color w:val="auto"/>
                <w:sz w:val="24"/>
                <w:highlight w:val="none"/>
              </w:rPr>
            </w:pPr>
          </w:p>
        </w:tc>
      </w:tr>
      <w:tr w14:paraId="37F7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F0C054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二</w:t>
            </w:r>
          </w:p>
        </w:tc>
        <w:tc>
          <w:tcPr>
            <w:tcW w:w="5460" w:type="dxa"/>
            <w:noWrap w:val="0"/>
            <w:vAlign w:val="center"/>
          </w:tcPr>
          <w:p w14:paraId="5693E8F8">
            <w:pPr>
              <w:rPr>
                <w:rFonts w:hint="eastAsia" w:ascii="宋体" w:hAnsi="宋体" w:eastAsia="宋体" w:cs="宋体"/>
                <w:bCs/>
                <w:color w:val="auto"/>
                <w:sz w:val="24"/>
                <w:highlight w:val="none"/>
              </w:rPr>
            </w:pPr>
            <w:r>
              <w:rPr>
                <w:rFonts w:hint="eastAsia" w:ascii="宋体" w:hAnsi="宋体" w:eastAsia="宋体" w:cs="宋体"/>
                <w:color w:val="auto"/>
                <w:sz w:val="24"/>
                <w:highlight w:val="none"/>
              </w:rPr>
              <w:t>投标人情况综合简介</w:t>
            </w:r>
          </w:p>
        </w:tc>
        <w:tc>
          <w:tcPr>
            <w:tcW w:w="1854" w:type="dxa"/>
            <w:noWrap w:val="0"/>
            <w:vAlign w:val="center"/>
          </w:tcPr>
          <w:p w14:paraId="52616A09">
            <w:pPr>
              <w:spacing w:line="360" w:lineRule="auto"/>
              <w:jc w:val="center"/>
              <w:rPr>
                <w:rFonts w:hint="eastAsia" w:ascii="宋体" w:hAnsi="宋体" w:eastAsia="宋体" w:cs="宋体"/>
                <w:b/>
                <w:color w:val="auto"/>
                <w:sz w:val="24"/>
                <w:highlight w:val="none"/>
              </w:rPr>
            </w:pPr>
          </w:p>
        </w:tc>
      </w:tr>
      <w:tr w14:paraId="440D0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EF7266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w:t>
            </w:r>
          </w:p>
        </w:tc>
        <w:tc>
          <w:tcPr>
            <w:tcW w:w="5460" w:type="dxa"/>
            <w:noWrap w:val="0"/>
            <w:vAlign w:val="center"/>
          </w:tcPr>
          <w:p w14:paraId="41AF6F52">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投标函</w:t>
            </w:r>
          </w:p>
        </w:tc>
        <w:tc>
          <w:tcPr>
            <w:tcW w:w="1854" w:type="dxa"/>
            <w:noWrap w:val="0"/>
            <w:vAlign w:val="center"/>
          </w:tcPr>
          <w:p w14:paraId="5335FAA6">
            <w:pPr>
              <w:spacing w:line="360" w:lineRule="auto"/>
              <w:jc w:val="center"/>
              <w:rPr>
                <w:rFonts w:hint="eastAsia" w:ascii="宋体" w:hAnsi="宋体" w:eastAsia="宋体" w:cs="宋体"/>
                <w:b/>
                <w:color w:val="auto"/>
                <w:sz w:val="24"/>
                <w:highlight w:val="none"/>
              </w:rPr>
            </w:pPr>
          </w:p>
        </w:tc>
      </w:tr>
      <w:tr w14:paraId="7B1DD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ED690A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四</w:t>
            </w:r>
          </w:p>
        </w:tc>
        <w:tc>
          <w:tcPr>
            <w:tcW w:w="5460" w:type="dxa"/>
            <w:noWrap w:val="0"/>
            <w:vAlign w:val="center"/>
          </w:tcPr>
          <w:p w14:paraId="4248711B">
            <w:pPr>
              <w:pStyle w:val="32"/>
              <w:rPr>
                <w:rFonts w:hint="eastAsia" w:ascii="宋体" w:hAnsi="宋体" w:eastAsia="宋体" w:cs="宋体"/>
                <w:bCs/>
                <w:color w:val="auto"/>
                <w:highlight w:val="none"/>
              </w:rPr>
            </w:pPr>
            <w:r>
              <w:rPr>
                <w:rFonts w:hint="eastAsia" w:ascii="宋体" w:hAnsi="宋体" w:eastAsia="宋体" w:cs="宋体"/>
                <w:bCs/>
                <w:color w:val="auto"/>
                <w:highlight w:val="none"/>
              </w:rPr>
              <w:t>投标分项报价表</w:t>
            </w:r>
          </w:p>
        </w:tc>
        <w:tc>
          <w:tcPr>
            <w:tcW w:w="1854" w:type="dxa"/>
            <w:noWrap w:val="0"/>
            <w:vAlign w:val="center"/>
          </w:tcPr>
          <w:p w14:paraId="15235E11">
            <w:pPr>
              <w:spacing w:line="360" w:lineRule="auto"/>
              <w:jc w:val="center"/>
              <w:rPr>
                <w:rFonts w:hint="eastAsia" w:ascii="宋体" w:hAnsi="宋体" w:eastAsia="宋体" w:cs="宋体"/>
                <w:b/>
                <w:color w:val="auto"/>
                <w:sz w:val="24"/>
                <w:highlight w:val="none"/>
              </w:rPr>
            </w:pPr>
          </w:p>
        </w:tc>
      </w:tr>
      <w:tr w14:paraId="77F4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31FEAB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五</w:t>
            </w:r>
          </w:p>
        </w:tc>
        <w:tc>
          <w:tcPr>
            <w:tcW w:w="5460" w:type="dxa"/>
            <w:noWrap w:val="0"/>
            <w:vAlign w:val="center"/>
          </w:tcPr>
          <w:p w14:paraId="06106112">
            <w:pPr>
              <w:rPr>
                <w:rFonts w:hint="eastAsia" w:ascii="宋体" w:hAnsi="宋体" w:eastAsia="宋体" w:cs="宋体"/>
                <w:bCs/>
                <w:color w:val="auto"/>
                <w:sz w:val="24"/>
                <w:highlight w:val="none"/>
              </w:rPr>
            </w:pPr>
            <w:r>
              <w:rPr>
                <w:rFonts w:hint="eastAsia" w:ascii="宋体" w:hAnsi="宋体" w:eastAsia="宋体" w:cs="宋体"/>
                <w:color w:val="auto"/>
                <w:sz w:val="24"/>
                <w:highlight w:val="none"/>
              </w:rPr>
              <w:t>投标响应表</w:t>
            </w:r>
          </w:p>
        </w:tc>
        <w:tc>
          <w:tcPr>
            <w:tcW w:w="1854" w:type="dxa"/>
            <w:noWrap w:val="0"/>
            <w:vAlign w:val="center"/>
          </w:tcPr>
          <w:p w14:paraId="2C9E6CD8">
            <w:pPr>
              <w:spacing w:line="360" w:lineRule="auto"/>
              <w:jc w:val="center"/>
              <w:rPr>
                <w:rFonts w:hint="eastAsia" w:ascii="宋体" w:hAnsi="宋体" w:eastAsia="宋体" w:cs="宋体"/>
                <w:b/>
                <w:color w:val="auto"/>
                <w:sz w:val="24"/>
                <w:highlight w:val="none"/>
              </w:rPr>
            </w:pPr>
          </w:p>
        </w:tc>
      </w:tr>
      <w:tr w14:paraId="19A2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3F9EBE0D">
            <w:pPr>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六</w:t>
            </w:r>
          </w:p>
        </w:tc>
        <w:tc>
          <w:tcPr>
            <w:tcW w:w="5460" w:type="dxa"/>
            <w:noWrap w:val="0"/>
            <w:vAlign w:val="center"/>
          </w:tcPr>
          <w:p w14:paraId="2EDD61A8">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服务质量承诺</w:t>
            </w:r>
          </w:p>
        </w:tc>
        <w:tc>
          <w:tcPr>
            <w:tcW w:w="1854" w:type="dxa"/>
            <w:noWrap w:val="0"/>
            <w:vAlign w:val="center"/>
          </w:tcPr>
          <w:p w14:paraId="32CFEB8D">
            <w:pPr>
              <w:spacing w:line="360" w:lineRule="auto"/>
              <w:rPr>
                <w:rFonts w:hint="eastAsia" w:ascii="宋体" w:hAnsi="宋体" w:eastAsia="宋体" w:cs="宋体"/>
                <w:b/>
                <w:color w:val="auto"/>
                <w:sz w:val="24"/>
                <w:highlight w:val="none"/>
              </w:rPr>
            </w:pPr>
          </w:p>
        </w:tc>
      </w:tr>
      <w:tr w14:paraId="11FF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307307F3">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七</w:t>
            </w:r>
          </w:p>
        </w:tc>
        <w:tc>
          <w:tcPr>
            <w:tcW w:w="5460" w:type="dxa"/>
            <w:noWrap w:val="0"/>
            <w:vAlign w:val="center"/>
          </w:tcPr>
          <w:p w14:paraId="018B25CC">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有关证明文件</w:t>
            </w:r>
          </w:p>
        </w:tc>
        <w:tc>
          <w:tcPr>
            <w:tcW w:w="1854" w:type="dxa"/>
            <w:noWrap w:val="0"/>
            <w:vAlign w:val="center"/>
          </w:tcPr>
          <w:p w14:paraId="6DD5F10C">
            <w:pPr>
              <w:spacing w:line="360" w:lineRule="auto"/>
              <w:rPr>
                <w:rFonts w:hint="eastAsia" w:ascii="宋体" w:hAnsi="宋体" w:eastAsia="宋体" w:cs="宋体"/>
                <w:b/>
                <w:color w:val="auto"/>
                <w:sz w:val="24"/>
                <w:highlight w:val="none"/>
              </w:rPr>
            </w:pPr>
          </w:p>
        </w:tc>
      </w:tr>
      <w:tr w14:paraId="3C99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19B2052E">
            <w:pPr>
              <w:ind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八</w:t>
            </w:r>
          </w:p>
        </w:tc>
        <w:tc>
          <w:tcPr>
            <w:tcW w:w="5460" w:type="dxa"/>
            <w:noWrap w:val="0"/>
            <w:vAlign w:val="center"/>
          </w:tcPr>
          <w:p w14:paraId="6618CD72">
            <w:pPr>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中小企业声明函</w:t>
            </w:r>
          </w:p>
        </w:tc>
        <w:tc>
          <w:tcPr>
            <w:tcW w:w="1854" w:type="dxa"/>
            <w:noWrap w:val="0"/>
            <w:vAlign w:val="center"/>
          </w:tcPr>
          <w:p w14:paraId="1A1F0A59">
            <w:pPr>
              <w:spacing w:line="360" w:lineRule="auto"/>
              <w:rPr>
                <w:rFonts w:hint="eastAsia" w:ascii="宋体" w:hAnsi="宋体" w:eastAsia="宋体" w:cs="宋体"/>
                <w:b/>
                <w:color w:val="auto"/>
                <w:sz w:val="24"/>
                <w:highlight w:val="none"/>
              </w:rPr>
            </w:pPr>
          </w:p>
        </w:tc>
      </w:tr>
      <w:tr w14:paraId="0CDE9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2BB3CE30">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九</w:t>
            </w:r>
          </w:p>
        </w:tc>
        <w:tc>
          <w:tcPr>
            <w:tcW w:w="5460" w:type="dxa"/>
            <w:noWrap w:val="0"/>
            <w:vAlign w:val="center"/>
          </w:tcPr>
          <w:p w14:paraId="6759D5C3">
            <w:pPr>
              <w:rPr>
                <w:rFonts w:hint="eastAsia" w:ascii="宋体" w:hAnsi="宋体" w:eastAsia="宋体" w:cs="宋体"/>
                <w:color w:val="auto"/>
                <w:sz w:val="24"/>
                <w:highlight w:val="none"/>
              </w:rPr>
            </w:pPr>
            <w:r>
              <w:rPr>
                <w:rFonts w:hint="eastAsia" w:ascii="宋体" w:hAnsi="宋体" w:eastAsia="宋体" w:cs="宋体"/>
                <w:color w:val="auto"/>
                <w:sz w:val="24"/>
                <w:highlight w:val="none"/>
              </w:rPr>
              <w:t>售后服务</w:t>
            </w:r>
          </w:p>
        </w:tc>
        <w:tc>
          <w:tcPr>
            <w:tcW w:w="1854" w:type="dxa"/>
            <w:noWrap w:val="0"/>
            <w:vAlign w:val="center"/>
          </w:tcPr>
          <w:p w14:paraId="33FC23F2">
            <w:pPr>
              <w:spacing w:line="360" w:lineRule="auto"/>
              <w:rPr>
                <w:rFonts w:hint="eastAsia" w:ascii="宋体" w:hAnsi="宋体" w:eastAsia="宋体" w:cs="宋体"/>
                <w:b/>
                <w:color w:val="auto"/>
                <w:sz w:val="24"/>
                <w:highlight w:val="none"/>
              </w:rPr>
            </w:pPr>
          </w:p>
        </w:tc>
      </w:tr>
      <w:tr w14:paraId="21D8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6095B6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十</w:t>
            </w:r>
          </w:p>
        </w:tc>
        <w:tc>
          <w:tcPr>
            <w:tcW w:w="5460" w:type="dxa"/>
            <w:noWrap w:val="0"/>
            <w:vAlign w:val="center"/>
          </w:tcPr>
          <w:p w14:paraId="0540BAD6">
            <w:pPr>
              <w:rPr>
                <w:rFonts w:hint="eastAsia" w:ascii="宋体" w:hAnsi="宋体" w:eastAsia="宋体" w:cs="宋体"/>
                <w:color w:val="auto"/>
                <w:sz w:val="24"/>
                <w:highlight w:val="none"/>
              </w:rPr>
            </w:pPr>
            <w:r>
              <w:rPr>
                <w:rFonts w:hint="eastAsia" w:ascii="宋体" w:hAnsi="宋体" w:eastAsia="宋体" w:cs="宋体"/>
                <w:color w:val="auto"/>
                <w:sz w:val="24"/>
                <w:highlight w:val="none"/>
              </w:rPr>
              <w:t>所投服务的技术资料等</w:t>
            </w:r>
          </w:p>
        </w:tc>
        <w:tc>
          <w:tcPr>
            <w:tcW w:w="1854" w:type="dxa"/>
            <w:noWrap w:val="0"/>
            <w:vAlign w:val="center"/>
          </w:tcPr>
          <w:p w14:paraId="3436CB1E">
            <w:pPr>
              <w:spacing w:line="360" w:lineRule="auto"/>
              <w:rPr>
                <w:rFonts w:hint="eastAsia" w:ascii="宋体" w:hAnsi="宋体" w:eastAsia="宋体" w:cs="宋体"/>
                <w:b/>
                <w:color w:val="auto"/>
                <w:sz w:val="24"/>
                <w:highlight w:val="none"/>
              </w:rPr>
            </w:pPr>
          </w:p>
        </w:tc>
      </w:tr>
      <w:tr w14:paraId="4393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4D16C289">
            <w:pPr>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十</w:t>
            </w:r>
            <w:r>
              <w:rPr>
                <w:rFonts w:hint="eastAsia" w:ascii="宋体" w:hAnsi="宋体" w:cs="宋体"/>
                <w:color w:val="auto"/>
                <w:sz w:val="24"/>
                <w:highlight w:val="none"/>
                <w:lang w:val="en-US" w:eastAsia="zh-CN"/>
              </w:rPr>
              <w:t>一</w:t>
            </w:r>
          </w:p>
        </w:tc>
        <w:tc>
          <w:tcPr>
            <w:tcW w:w="5460" w:type="dxa"/>
            <w:noWrap w:val="0"/>
            <w:vAlign w:val="center"/>
          </w:tcPr>
          <w:p w14:paraId="54CD5AF6">
            <w:pP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其他投标人认为需要提供得材料等</w:t>
            </w:r>
          </w:p>
        </w:tc>
        <w:tc>
          <w:tcPr>
            <w:tcW w:w="1854" w:type="dxa"/>
            <w:noWrap w:val="0"/>
            <w:vAlign w:val="center"/>
          </w:tcPr>
          <w:p w14:paraId="69A1A6D8">
            <w:pPr>
              <w:spacing w:line="360" w:lineRule="auto"/>
              <w:rPr>
                <w:rFonts w:hint="eastAsia" w:ascii="宋体" w:hAnsi="宋体" w:eastAsia="宋体" w:cs="宋体"/>
                <w:b/>
                <w:color w:val="auto"/>
                <w:sz w:val="24"/>
                <w:highlight w:val="none"/>
              </w:rPr>
            </w:pPr>
          </w:p>
        </w:tc>
      </w:tr>
      <w:tr w14:paraId="5E5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3C8B321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十二</w:t>
            </w:r>
          </w:p>
        </w:tc>
        <w:tc>
          <w:tcPr>
            <w:tcW w:w="5460" w:type="dxa"/>
            <w:noWrap w:val="0"/>
            <w:vAlign w:val="center"/>
          </w:tcPr>
          <w:p w14:paraId="4F2A49A1">
            <w:pPr>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政府采购供应商诚信承诺书</w:t>
            </w:r>
          </w:p>
          <w:p w14:paraId="4062C77B">
            <w:pPr>
              <w:jc w:val="center"/>
              <w:rPr>
                <w:rFonts w:hint="eastAsia" w:ascii="宋体" w:hAnsi="宋体" w:eastAsia="宋体" w:cs="宋体"/>
                <w:color w:val="auto"/>
                <w:sz w:val="24"/>
                <w:highlight w:val="none"/>
              </w:rPr>
            </w:pPr>
          </w:p>
        </w:tc>
        <w:tc>
          <w:tcPr>
            <w:tcW w:w="1854" w:type="dxa"/>
            <w:noWrap w:val="0"/>
            <w:vAlign w:val="center"/>
          </w:tcPr>
          <w:p w14:paraId="4E4CFA65">
            <w:pPr>
              <w:spacing w:line="360" w:lineRule="auto"/>
              <w:rPr>
                <w:rFonts w:hint="eastAsia" w:ascii="宋体" w:hAnsi="宋体" w:eastAsia="宋体" w:cs="宋体"/>
                <w:b/>
                <w:color w:val="auto"/>
                <w:sz w:val="24"/>
                <w:highlight w:val="none"/>
              </w:rPr>
            </w:pPr>
          </w:p>
        </w:tc>
      </w:tr>
      <w:tr w14:paraId="091DC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0B48C885">
            <w:pPr>
              <w:spacing w:line="500" w:lineRule="exact"/>
              <w:rPr>
                <w:rFonts w:hint="eastAsia" w:ascii="宋体" w:hAnsi="宋体" w:eastAsia="宋体" w:cs="宋体"/>
                <w:b/>
                <w:color w:val="auto"/>
                <w:sz w:val="28"/>
                <w:highlight w:val="none"/>
              </w:rPr>
            </w:pPr>
            <w:r>
              <w:rPr>
                <w:rFonts w:hint="eastAsia" w:ascii="宋体" w:hAnsi="宋体" w:eastAsia="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64E5C392">
      <w:pPr>
        <w:spacing w:line="500" w:lineRule="exact"/>
        <w:rPr>
          <w:rFonts w:hint="eastAsia" w:ascii="宋体" w:hAnsi="宋体" w:eastAsia="宋体" w:cs="宋体"/>
          <w:color w:val="auto"/>
          <w:sz w:val="28"/>
          <w:highlight w:val="none"/>
        </w:rPr>
      </w:pPr>
    </w:p>
    <w:p w14:paraId="385892C1">
      <w:pPr>
        <w:pStyle w:val="18"/>
        <w:rPr>
          <w:rFonts w:hint="eastAsia" w:ascii="宋体" w:hAnsi="宋体" w:eastAsia="宋体" w:cs="宋体"/>
          <w:color w:val="auto"/>
          <w:highlight w:val="none"/>
        </w:rPr>
      </w:pPr>
    </w:p>
    <w:p w14:paraId="15D67FD2">
      <w:pPr>
        <w:pStyle w:val="18"/>
        <w:rPr>
          <w:rFonts w:hint="eastAsia" w:ascii="宋体" w:hAnsi="宋体" w:eastAsia="宋体" w:cs="宋体"/>
          <w:color w:val="auto"/>
          <w:highlight w:val="none"/>
        </w:rPr>
      </w:pPr>
    </w:p>
    <w:p w14:paraId="70D926CD">
      <w:pPr>
        <w:pStyle w:val="18"/>
        <w:rPr>
          <w:rFonts w:hint="eastAsia" w:ascii="宋体" w:hAnsi="宋体" w:eastAsia="宋体" w:cs="宋体"/>
          <w:color w:val="auto"/>
          <w:highlight w:val="none"/>
        </w:rPr>
      </w:pPr>
    </w:p>
    <w:p w14:paraId="2358049A">
      <w:pPr>
        <w:pStyle w:val="18"/>
        <w:rPr>
          <w:rFonts w:hint="eastAsia" w:ascii="宋体" w:hAnsi="宋体" w:eastAsia="宋体" w:cs="宋体"/>
          <w:color w:val="auto"/>
          <w:highlight w:val="none"/>
        </w:rPr>
      </w:pPr>
    </w:p>
    <w:p w14:paraId="0F5DD8EA">
      <w:pPr>
        <w:pStyle w:val="6"/>
        <w:rPr>
          <w:rFonts w:hint="eastAsia" w:ascii="宋体" w:hAnsi="宋体" w:eastAsia="宋体" w:cs="宋体"/>
          <w:color w:val="auto"/>
          <w:sz w:val="28"/>
          <w:highlight w:val="none"/>
          <w:lang w:eastAsia="zh-CN"/>
        </w:rPr>
      </w:pPr>
      <w:bookmarkStart w:id="145" w:name="_Toc197934561"/>
      <w:bookmarkStart w:id="146" w:name="_Toc40975449"/>
      <w:bookmarkStart w:id="147" w:name="_Toc2396_WPSOffice_Level2"/>
    </w:p>
    <w:p w14:paraId="2D1450A3">
      <w:pPr>
        <w:rPr>
          <w:rFonts w:hint="eastAsia" w:ascii="宋体" w:hAnsi="宋体" w:eastAsia="宋体" w:cs="宋体"/>
          <w:b/>
          <w:bCs/>
          <w:color w:val="auto"/>
          <w:sz w:val="28"/>
          <w:szCs w:val="28"/>
          <w:highlight w:val="none"/>
        </w:rPr>
      </w:pPr>
      <w:bookmarkStart w:id="148" w:name="_Toc5255"/>
      <w:bookmarkStart w:id="149" w:name="_Toc17431"/>
      <w:bookmarkStart w:id="150" w:name="_Toc11226"/>
      <w:r>
        <w:rPr>
          <w:rFonts w:hint="eastAsia" w:ascii="宋体" w:hAnsi="宋体" w:eastAsia="宋体" w:cs="宋体"/>
          <w:b/>
          <w:bCs/>
          <w:color w:val="auto"/>
          <w:sz w:val="28"/>
          <w:szCs w:val="28"/>
          <w:highlight w:val="none"/>
        </w:rPr>
        <w:br w:type="page"/>
      </w:r>
    </w:p>
    <w:p w14:paraId="022EC1CF">
      <w:pPr>
        <w:bidi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一．开标一览表</w:t>
      </w:r>
      <w:bookmarkEnd w:id="145"/>
      <w:bookmarkEnd w:id="146"/>
      <w:bookmarkEnd w:id="147"/>
      <w:bookmarkEnd w:id="148"/>
      <w:bookmarkEnd w:id="149"/>
      <w:bookmarkEnd w:id="150"/>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FA22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1F06BD41">
            <w:pPr>
              <w:widowControl/>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项目名称</w:t>
            </w:r>
          </w:p>
        </w:tc>
        <w:tc>
          <w:tcPr>
            <w:tcW w:w="6309" w:type="dxa"/>
            <w:tcBorders>
              <w:top w:val="single" w:color="auto" w:sz="4" w:space="0"/>
              <w:bottom w:val="single" w:color="auto" w:sz="4" w:space="0"/>
              <w:right w:val="single" w:color="auto" w:sz="4" w:space="0"/>
            </w:tcBorders>
            <w:noWrap w:val="0"/>
            <w:vAlign w:val="center"/>
          </w:tcPr>
          <w:p w14:paraId="09B4D6B6">
            <w:pPr>
              <w:spacing w:line="360" w:lineRule="exact"/>
              <w:jc w:val="center"/>
              <w:rPr>
                <w:rFonts w:hint="eastAsia" w:ascii="宋体" w:hAnsi="宋体" w:eastAsia="宋体" w:cs="宋体"/>
                <w:bCs/>
                <w:color w:val="auto"/>
                <w:sz w:val="24"/>
                <w:highlight w:val="none"/>
                <w:u w:val="single"/>
              </w:rPr>
            </w:pPr>
          </w:p>
        </w:tc>
      </w:tr>
      <w:tr w14:paraId="6BEC3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1604DEF">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投标人全称</w:t>
            </w:r>
          </w:p>
        </w:tc>
        <w:tc>
          <w:tcPr>
            <w:tcW w:w="6309" w:type="dxa"/>
            <w:tcBorders>
              <w:top w:val="nil"/>
            </w:tcBorders>
            <w:noWrap w:val="0"/>
            <w:vAlign w:val="center"/>
          </w:tcPr>
          <w:p w14:paraId="0380A2EE">
            <w:pPr>
              <w:spacing w:line="360" w:lineRule="auto"/>
              <w:rPr>
                <w:rFonts w:hint="eastAsia" w:ascii="宋体" w:hAnsi="宋体" w:eastAsia="宋体" w:cs="宋体"/>
                <w:color w:val="auto"/>
                <w:sz w:val="24"/>
                <w:highlight w:val="none"/>
              </w:rPr>
            </w:pPr>
          </w:p>
        </w:tc>
      </w:tr>
      <w:tr w14:paraId="68E9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0A3AFF93">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投标范围</w:t>
            </w:r>
          </w:p>
        </w:tc>
        <w:tc>
          <w:tcPr>
            <w:tcW w:w="6309" w:type="dxa"/>
            <w:tcBorders>
              <w:top w:val="nil"/>
            </w:tcBorders>
            <w:noWrap w:val="0"/>
            <w:vAlign w:val="center"/>
          </w:tcPr>
          <w:p w14:paraId="24387F72">
            <w:pPr>
              <w:widowControl/>
              <w:spacing w:line="360" w:lineRule="exact"/>
              <w:rPr>
                <w:rFonts w:hint="eastAsia" w:ascii="宋体" w:hAnsi="宋体" w:eastAsia="宋体" w:cs="宋体"/>
                <w:b/>
                <w:color w:val="auto"/>
                <w:sz w:val="24"/>
                <w:highlight w:val="none"/>
              </w:rPr>
            </w:pPr>
          </w:p>
        </w:tc>
      </w:tr>
      <w:tr w14:paraId="2154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B41D067">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1、最终投标报价</w:t>
            </w:r>
          </w:p>
          <w:p w14:paraId="77EBB414">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（人民币）</w:t>
            </w:r>
          </w:p>
          <w:p w14:paraId="3BE82FBD">
            <w:pPr>
              <w:spacing w:line="360" w:lineRule="exact"/>
              <w:rPr>
                <w:rFonts w:hint="eastAsia" w:ascii="宋体" w:hAnsi="宋体" w:eastAsia="宋体" w:cs="宋体"/>
                <w:color w:val="auto"/>
                <w:highlight w:val="none"/>
              </w:rPr>
            </w:pPr>
          </w:p>
        </w:tc>
        <w:tc>
          <w:tcPr>
            <w:tcW w:w="6309" w:type="dxa"/>
            <w:tcBorders>
              <w:top w:val="nil"/>
            </w:tcBorders>
            <w:noWrap w:val="0"/>
            <w:vAlign w:val="center"/>
          </w:tcPr>
          <w:p w14:paraId="63D77664">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1、投标报价：        元、大写：         </w:t>
            </w:r>
          </w:p>
          <w:p w14:paraId="110E41D4">
            <w:pPr>
              <w:pStyle w:val="21"/>
              <w:ind w:right="-21" w:firstLine="540"/>
              <w:rPr>
                <w:rFonts w:hint="eastAsia" w:ascii="宋体" w:hAnsi="宋体" w:eastAsia="宋体" w:cs="宋体"/>
                <w:color w:val="auto"/>
                <w:highlight w:val="none"/>
                <w:lang w:val="en-US" w:eastAsia="zh-CN"/>
              </w:rPr>
            </w:pPr>
          </w:p>
        </w:tc>
      </w:tr>
      <w:tr w14:paraId="0818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01CFA211">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备注</w:t>
            </w:r>
          </w:p>
        </w:tc>
        <w:tc>
          <w:tcPr>
            <w:tcW w:w="6309" w:type="dxa"/>
            <w:tcBorders>
              <w:top w:val="nil"/>
            </w:tcBorders>
            <w:noWrap w:val="0"/>
            <w:vAlign w:val="center"/>
          </w:tcPr>
          <w:p w14:paraId="63E44A1A">
            <w:pPr>
              <w:spacing w:line="360" w:lineRule="auto"/>
              <w:jc w:val="left"/>
              <w:rPr>
                <w:rFonts w:hint="eastAsia" w:ascii="宋体" w:hAnsi="宋体" w:eastAsia="宋体" w:cs="宋体"/>
                <w:color w:val="auto"/>
                <w:sz w:val="24"/>
                <w:szCs w:val="28"/>
                <w:highlight w:val="none"/>
              </w:rPr>
            </w:pPr>
          </w:p>
        </w:tc>
      </w:tr>
    </w:tbl>
    <w:p w14:paraId="010C3148">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供应商名称：（电子签章）</w:t>
      </w:r>
    </w:p>
    <w:p w14:paraId="4DB16FDB">
      <w:pPr>
        <w:spacing w:line="380" w:lineRule="exact"/>
        <w:ind w:right="640" w:firstLine="1560" w:firstLineChars="650"/>
        <w:rPr>
          <w:rFonts w:hint="eastAsia" w:ascii="宋体" w:hAnsi="宋体" w:eastAsia="宋体" w:cs="宋体"/>
          <w:color w:val="auto"/>
          <w:sz w:val="24"/>
          <w:highlight w:val="none"/>
        </w:rPr>
      </w:pPr>
    </w:p>
    <w:p w14:paraId="34EC5800">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授权委托人和法人：（签字）：</w:t>
      </w:r>
    </w:p>
    <w:p w14:paraId="37131162">
      <w:pPr>
        <w:spacing w:line="380" w:lineRule="exact"/>
        <w:jc w:val="center"/>
        <w:rPr>
          <w:rFonts w:hint="eastAsia" w:ascii="宋体" w:hAnsi="宋体" w:eastAsia="宋体" w:cs="宋体"/>
          <w:color w:val="auto"/>
          <w:sz w:val="24"/>
          <w:highlight w:val="none"/>
        </w:rPr>
      </w:pPr>
    </w:p>
    <w:p w14:paraId="1544012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44AE3628">
      <w:pPr>
        <w:spacing w:before="100" w:beforeAutospacing="1" w:after="100" w:afterAutospacing="1"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w:t>
      </w:r>
    </w:p>
    <w:p w14:paraId="79713F74">
      <w:pPr>
        <w:spacing w:line="500" w:lineRule="exact"/>
        <w:jc w:val="center"/>
        <w:rPr>
          <w:rFonts w:hint="eastAsia" w:ascii="宋体" w:hAnsi="宋体" w:eastAsia="宋体" w:cs="宋体"/>
          <w:b/>
          <w:bCs/>
          <w:color w:val="auto"/>
          <w:sz w:val="30"/>
          <w:highlight w:val="none"/>
        </w:rPr>
      </w:pPr>
    </w:p>
    <w:p w14:paraId="271BCF1D">
      <w:pPr>
        <w:spacing w:line="500" w:lineRule="exact"/>
        <w:jc w:val="center"/>
        <w:rPr>
          <w:rFonts w:hint="eastAsia" w:ascii="宋体" w:hAnsi="宋体" w:eastAsia="宋体" w:cs="宋体"/>
          <w:b/>
          <w:bCs/>
          <w:color w:val="auto"/>
          <w:sz w:val="30"/>
          <w:highlight w:val="none"/>
        </w:rPr>
      </w:pPr>
    </w:p>
    <w:p w14:paraId="75553E7C">
      <w:pPr>
        <w:spacing w:line="500" w:lineRule="exact"/>
        <w:jc w:val="center"/>
        <w:rPr>
          <w:rFonts w:hint="eastAsia" w:ascii="宋体" w:hAnsi="宋体" w:eastAsia="宋体" w:cs="宋体"/>
          <w:b/>
          <w:bCs/>
          <w:color w:val="auto"/>
          <w:sz w:val="30"/>
          <w:highlight w:val="none"/>
        </w:rPr>
      </w:pPr>
    </w:p>
    <w:p w14:paraId="1EF68491">
      <w:pPr>
        <w:rPr>
          <w:rFonts w:hint="eastAsia" w:ascii="宋体" w:hAnsi="宋体" w:eastAsia="宋体" w:cs="宋体"/>
          <w:color w:val="auto"/>
          <w:sz w:val="28"/>
          <w:highlight w:val="none"/>
        </w:rPr>
      </w:pPr>
      <w:bookmarkStart w:id="151" w:name="_Hlt509716873"/>
      <w:bookmarkEnd w:id="151"/>
      <w:bookmarkStart w:id="152" w:name="_Hlt533409360"/>
      <w:bookmarkEnd w:id="152"/>
      <w:bookmarkStart w:id="153" w:name="_Hlt533408409"/>
      <w:bookmarkEnd w:id="153"/>
      <w:bookmarkStart w:id="154" w:name="_Hlt533408916"/>
      <w:bookmarkEnd w:id="154"/>
      <w:bookmarkStart w:id="155" w:name="_Hlt519045798"/>
      <w:bookmarkEnd w:id="155"/>
      <w:bookmarkStart w:id="156" w:name="_Toc6108"/>
      <w:bookmarkStart w:id="157" w:name="_Toc18070"/>
      <w:bookmarkStart w:id="158" w:name="_Toc32321"/>
      <w:bookmarkStart w:id="159" w:name="_Toc11175_WPSOffice_Level2"/>
      <w:bookmarkStart w:id="160" w:name="_Toc40975450"/>
      <w:bookmarkStart w:id="161" w:name="_Toc516969097"/>
      <w:bookmarkStart w:id="162" w:name="_Toc197934563"/>
      <w:r>
        <w:rPr>
          <w:rFonts w:hint="eastAsia" w:ascii="宋体" w:hAnsi="宋体" w:eastAsia="宋体" w:cs="宋体"/>
          <w:color w:val="auto"/>
          <w:sz w:val="28"/>
          <w:highlight w:val="none"/>
        </w:rPr>
        <w:br w:type="page"/>
      </w:r>
    </w:p>
    <w:p w14:paraId="4D44E86D">
      <w:pPr>
        <w:pStyle w:val="6"/>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color w:val="auto"/>
          <w:sz w:val="28"/>
          <w:highlight w:val="none"/>
        </w:rPr>
      </w:pPr>
      <w:r>
        <w:rPr>
          <w:rFonts w:hint="eastAsia" w:ascii="宋体" w:hAnsi="宋体" w:eastAsia="宋体" w:cs="宋体"/>
          <w:color w:val="auto"/>
          <w:sz w:val="28"/>
          <w:highlight w:val="none"/>
        </w:rPr>
        <w:t>二．投标人综合情况简介</w:t>
      </w:r>
      <w:bookmarkEnd w:id="156"/>
      <w:bookmarkEnd w:id="157"/>
      <w:bookmarkEnd w:id="158"/>
      <w:bookmarkEnd w:id="159"/>
      <w:bookmarkEnd w:id="160"/>
      <w:bookmarkEnd w:id="161"/>
    </w:p>
    <w:p w14:paraId="649914C5">
      <w:pPr>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w:t>
      </w:r>
    </w:p>
    <w:p w14:paraId="1F86D3B0">
      <w:pPr>
        <w:pStyle w:val="18"/>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color w:val="auto"/>
          <w:highlight w:val="none"/>
        </w:rPr>
      </w:pPr>
    </w:p>
    <w:p w14:paraId="0E4DB50F">
      <w:pPr>
        <w:pStyle w:val="6"/>
        <w:pageBreakBefore w:val="0"/>
        <w:widowControl w:val="0"/>
        <w:kinsoku/>
        <w:wordWrap/>
        <w:overflowPunct/>
        <w:topLinePunct w:val="0"/>
        <w:autoSpaceDE/>
        <w:autoSpaceDN/>
        <w:bidi w:val="0"/>
        <w:adjustRightInd/>
        <w:spacing w:after="240" w:line="240" w:lineRule="auto"/>
        <w:textAlignment w:val="auto"/>
        <w:rPr>
          <w:rFonts w:hint="eastAsia" w:ascii="宋体" w:hAnsi="宋体" w:eastAsia="宋体" w:cs="宋体"/>
          <w:color w:val="auto"/>
          <w:sz w:val="28"/>
          <w:highlight w:val="none"/>
        </w:rPr>
      </w:pPr>
      <w:bookmarkStart w:id="163" w:name="_Hlt509739007"/>
      <w:bookmarkEnd w:id="163"/>
      <w:bookmarkStart w:id="164" w:name="_Toc1391_WPSOffice_Level2"/>
      <w:bookmarkStart w:id="165" w:name="_Toc23480"/>
      <w:bookmarkStart w:id="166" w:name="_Toc40975451"/>
      <w:bookmarkStart w:id="167" w:name="_Toc15297"/>
      <w:bookmarkStart w:id="168" w:name="_Toc25232"/>
      <w:bookmarkStart w:id="169" w:name="_Toc516969098"/>
      <w:r>
        <w:rPr>
          <w:rFonts w:hint="eastAsia" w:ascii="宋体" w:hAnsi="宋体" w:eastAsia="宋体" w:cs="宋体"/>
          <w:color w:val="auto"/>
          <w:sz w:val="28"/>
          <w:highlight w:val="none"/>
        </w:rPr>
        <w:t>三．投标函</w:t>
      </w:r>
      <w:bookmarkEnd w:id="164"/>
      <w:bookmarkEnd w:id="165"/>
      <w:bookmarkEnd w:id="166"/>
      <w:bookmarkEnd w:id="167"/>
      <w:bookmarkEnd w:id="168"/>
      <w:bookmarkEnd w:id="169"/>
    </w:p>
    <w:p w14:paraId="2BC331E5">
      <w:pPr>
        <w:pStyle w:val="14"/>
        <w:spacing w:line="360" w:lineRule="auto"/>
        <w:rPr>
          <w:rFonts w:hint="eastAsia" w:ascii="宋体" w:hAnsi="宋体" w:eastAsia="宋体" w:cs="宋体"/>
          <w:b w:val="0"/>
          <w:color w:val="auto"/>
          <w:kern w:val="2"/>
          <w:sz w:val="24"/>
          <w:highlight w:val="none"/>
          <w:lang w:val="en-US" w:eastAsia="zh-CN" w:bidi="ar-SA"/>
        </w:rPr>
      </w:pPr>
      <w:r>
        <w:rPr>
          <w:rFonts w:hint="eastAsia" w:ascii="宋体" w:hAnsi="宋体" w:eastAsia="宋体" w:cs="宋体"/>
          <w:b w:val="0"/>
          <w:color w:val="auto"/>
          <w:kern w:val="2"/>
          <w:sz w:val="24"/>
          <w:highlight w:val="none"/>
          <w:lang w:val="en-US" w:eastAsia="zh-CN" w:bidi="ar-SA"/>
        </w:rPr>
        <w:t>致：（采购人或采购代理机构）</w:t>
      </w:r>
    </w:p>
    <w:p w14:paraId="443F0443">
      <w:pPr>
        <w:spacing w:line="360" w:lineRule="auto"/>
        <w:ind w:left="239" w:leftChars="114" w:firstLine="386" w:firstLineChars="161"/>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根据贵方“</w:t>
      </w:r>
      <w:r>
        <w:rPr>
          <w:rFonts w:hint="eastAsia" w:ascii="宋体" w:hAnsi="宋体" w:eastAsia="宋体" w:cs="宋体"/>
          <w:color w:val="auto"/>
          <w:sz w:val="24"/>
          <w:highlight w:val="none"/>
          <w:lang w:eastAsia="zh-CN"/>
        </w:rPr>
        <w:t>（</w:t>
      </w:r>
      <w:r>
        <w:rPr>
          <w:rFonts w:hint="eastAsia" w:ascii="宋体" w:hAnsi="宋体" w:eastAsia="宋体" w:cs="宋体"/>
          <w:b/>
          <w:bCs/>
          <w:color w:val="auto"/>
          <w:sz w:val="24"/>
          <w:highlight w:val="none"/>
          <w:u w:val="single"/>
          <w:lang w:val="en-US" w:eastAsia="zh-CN"/>
        </w:rPr>
        <w:t>项目名称、项目编号</w:t>
      </w:r>
      <w:r>
        <w:rPr>
          <w:rFonts w:hint="eastAsia" w:ascii="宋体" w:hAnsi="宋体" w:eastAsia="宋体" w:cs="宋体"/>
          <w:b/>
          <w:bCs/>
          <w:color w:val="auto"/>
          <w:sz w:val="24"/>
          <w:highlight w:val="none"/>
          <w:u w:val="single"/>
        </w:rPr>
        <w:t>)</w:t>
      </w:r>
      <w:r>
        <w:rPr>
          <w:rFonts w:hint="eastAsia" w:ascii="宋体" w:hAnsi="宋体" w:eastAsia="宋体" w:cs="宋体"/>
          <w:color w:val="auto"/>
          <w:sz w:val="24"/>
          <w:highlight w:val="none"/>
        </w:rPr>
        <w:t>”项目招标邀请书或招标公告，正式授权下述签字人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（姓名）代表投标人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（投标人全称），提交规定形式的投标文件。</w:t>
      </w:r>
    </w:p>
    <w:p w14:paraId="1499213A">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据此函，我方兹宣布同意如下：</w:t>
      </w:r>
    </w:p>
    <w:p w14:paraId="250BE23A">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（1）如我公司中标，愿意按招标文件规定提供交付服务（包括税费等工作）的总报价为人民币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元，服务期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26B4148">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（2）我方根据招标文件的规定，严格履行合同的责任和义务,并保证于买方要求的日期内完成服务，并通过买方验收。</w:t>
      </w:r>
    </w:p>
    <w:p w14:paraId="1FEAFEB8">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（3）我方承诺报价低于同类货物和服务的市场平均价格。</w:t>
      </w:r>
    </w:p>
    <w:p w14:paraId="6F6B2DDB">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204F41B">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（5）我方同意从招标文件规定的开标日期起遵循本投标文件，并在招标文件规定的投标有效期之前均具有约束力。</w:t>
      </w:r>
    </w:p>
    <w:p w14:paraId="4C5EF967">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0EC7E31">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（7）我方完全理解贵方不一定接受最低报价的投标。</w:t>
      </w:r>
    </w:p>
    <w:p w14:paraId="6595AC86">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（8）我方同意招标文件规定的付款方式。</w:t>
      </w:r>
    </w:p>
    <w:p w14:paraId="7B4894CE">
      <w:pPr>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（9）与本投标有关的通讯地址：</w:t>
      </w:r>
      <w:r>
        <w:rPr>
          <w:rFonts w:hint="eastAsia" w:ascii="宋体" w:hAnsi="宋体" w:eastAsia="宋体" w:cs="宋体"/>
          <w:color w:val="auto"/>
          <w:sz w:val="24"/>
          <w:highlight w:val="none"/>
          <w:u w:val="single"/>
        </w:rPr>
        <w:t xml:space="preserve">                                  </w:t>
      </w:r>
    </w:p>
    <w:p w14:paraId="534D1858">
      <w:pPr>
        <w:pStyle w:val="26"/>
        <w:ind w:firstLine="720" w:firstLineChars="300"/>
        <w:rPr>
          <w:rFonts w:hint="default"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（10）本项目项目责任人：   电话：</w:t>
      </w:r>
    </w:p>
    <w:p w14:paraId="77EC5664">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1ED5D4A6">
      <w:pPr>
        <w:spacing w:line="380" w:lineRule="exact"/>
        <w:ind w:right="640"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1756C0A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日期：      年   月    日</w:t>
      </w:r>
    </w:p>
    <w:bookmarkEnd w:id="162"/>
    <w:p w14:paraId="7666D7EA">
      <w:pPr>
        <w:rPr>
          <w:rFonts w:hint="eastAsia" w:ascii="宋体" w:hAnsi="宋体" w:eastAsia="宋体" w:cs="宋体"/>
          <w:color w:val="auto"/>
          <w:sz w:val="28"/>
          <w:highlight w:val="none"/>
        </w:rPr>
      </w:pPr>
      <w:bookmarkStart w:id="170" w:name="_Toc15353"/>
      <w:bookmarkStart w:id="171" w:name="_Toc200"/>
      <w:bookmarkStart w:id="172" w:name="_Toc27702"/>
      <w:bookmarkStart w:id="173" w:name="_Toc24077_WPSOffice_Level2"/>
      <w:bookmarkStart w:id="174" w:name="_Toc40975452"/>
      <w:bookmarkStart w:id="175" w:name="_Toc220232409"/>
      <w:r>
        <w:rPr>
          <w:rFonts w:hint="eastAsia" w:ascii="宋体" w:hAnsi="宋体" w:eastAsia="宋体" w:cs="宋体"/>
          <w:color w:val="auto"/>
          <w:sz w:val="28"/>
          <w:highlight w:val="none"/>
        </w:rPr>
        <w:br w:type="page"/>
      </w:r>
    </w:p>
    <w:p w14:paraId="72D8974B">
      <w:pPr>
        <w:pStyle w:val="6"/>
        <w:rPr>
          <w:rFonts w:hint="eastAsia" w:ascii="宋体" w:hAnsi="宋体" w:eastAsia="宋体" w:cs="宋体"/>
          <w:color w:val="auto"/>
          <w:sz w:val="28"/>
          <w:szCs w:val="36"/>
          <w:highlight w:val="none"/>
        </w:rPr>
      </w:pPr>
      <w:r>
        <w:rPr>
          <w:rFonts w:hint="eastAsia" w:ascii="宋体" w:hAnsi="宋体" w:eastAsia="宋体" w:cs="宋体"/>
          <w:color w:val="auto"/>
          <w:sz w:val="28"/>
          <w:highlight w:val="none"/>
        </w:rPr>
        <w:t>四．投标分项报价表</w:t>
      </w:r>
      <w:bookmarkEnd w:id="170"/>
      <w:bookmarkEnd w:id="171"/>
      <w:bookmarkEnd w:id="172"/>
      <w:bookmarkEnd w:id="173"/>
      <w:bookmarkEnd w:id="174"/>
      <w:bookmarkEnd w:id="175"/>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1535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357071B9">
            <w:pPr>
              <w:pStyle w:val="33"/>
              <w:widowControl w:val="0"/>
              <w:spacing w:before="0" w:beforeAutospacing="0" w:after="0" w:afterAutospacing="0"/>
              <w:rPr>
                <w:rFonts w:hint="eastAsia" w:ascii="宋体" w:hAnsi="宋体" w:eastAsia="宋体" w:cs="宋体"/>
                <w:bCs w:val="0"/>
                <w:color w:val="auto"/>
                <w:kern w:val="2"/>
                <w:sz w:val="24"/>
                <w:szCs w:val="20"/>
                <w:highlight w:val="none"/>
              </w:rPr>
            </w:pPr>
            <w:r>
              <w:rPr>
                <w:rFonts w:hint="eastAsia" w:ascii="宋体" w:hAnsi="宋体" w:eastAsia="宋体" w:cs="宋体"/>
                <w:bCs w:val="0"/>
                <w:color w:val="auto"/>
                <w:kern w:val="2"/>
                <w:sz w:val="24"/>
                <w:szCs w:val="20"/>
                <w:highlight w:val="none"/>
              </w:rPr>
              <w:t>序号</w:t>
            </w:r>
          </w:p>
        </w:tc>
        <w:tc>
          <w:tcPr>
            <w:tcW w:w="2205" w:type="dxa"/>
            <w:noWrap w:val="0"/>
            <w:vAlign w:val="center"/>
          </w:tcPr>
          <w:p w14:paraId="22D37EA3">
            <w:pPr>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名称</w:t>
            </w:r>
          </w:p>
        </w:tc>
        <w:tc>
          <w:tcPr>
            <w:tcW w:w="957" w:type="dxa"/>
            <w:noWrap w:val="0"/>
            <w:vAlign w:val="center"/>
          </w:tcPr>
          <w:p w14:paraId="3A1035A8">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单位</w:t>
            </w:r>
          </w:p>
        </w:tc>
        <w:tc>
          <w:tcPr>
            <w:tcW w:w="840" w:type="dxa"/>
            <w:noWrap w:val="0"/>
            <w:vAlign w:val="center"/>
          </w:tcPr>
          <w:p w14:paraId="4AA5E7EC">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数量</w:t>
            </w:r>
          </w:p>
        </w:tc>
        <w:tc>
          <w:tcPr>
            <w:tcW w:w="1260" w:type="dxa"/>
            <w:noWrap w:val="0"/>
            <w:vAlign w:val="center"/>
          </w:tcPr>
          <w:p w14:paraId="2E83D002">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单价</w:t>
            </w:r>
          </w:p>
        </w:tc>
        <w:tc>
          <w:tcPr>
            <w:tcW w:w="1340" w:type="dxa"/>
            <w:noWrap w:val="0"/>
            <w:vAlign w:val="center"/>
          </w:tcPr>
          <w:p w14:paraId="0CEFFB71">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小计</w:t>
            </w:r>
          </w:p>
        </w:tc>
        <w:tc>
          <w:tcPr>
            <w:tcW w:w="922" w:type="dxa"/>
            <w:noWrap w:val="0"/>
            <w:vAlign w:val="center"/>
          </w:tcPr>
          <w:p w14:paraId="5E989C8F">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备注</w:t>
            </w:r>
          </w:p>
        </w:tc>
      </w:tr>
      <w:tr w14:paraId="786E2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12A0EFA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205" w:type="dxa"/>
            <w:noWrap w:val="0"/>
            <w:vAlign w:val="top"/>
          </w:tcPr>
          <w:p w14:paraId="0224D55E">
            <w:pPr>
              <w:rPr>
                <w:rFonts w:hint="eastAsia" w:ascii="宋体" w:hAnsi="宋体" w:eastAsia="宋体" w:cs="宋体"/>
                <w:color w:val="auto"/>
                <w:sz w:val="24"/>
                <w:highlight w:val="none"/>
              </w:rPr>
            </w:pPr>
          </w:p>
        </w:tc>
        <w:tc>
          <w:tcPr>
            <w:tcW w:w="957" w:type="dxa"/>
            <w:noWrap w:val="0"/>
            <w:vAlign w:val="top"/>
          </w:tcPr>
          <w:p w14:paraId="2BD56BA7">
            <w:pPr>
              <w:rPr>
                <w:rFonts w:hint="eastAsia" w:ascii="宋体" w:hAnsi="宋体" w:eastAsia="宋体" w:cs="宋体"/>
                <w:color w:val="auto"/>
                <w:sz w:val="24"/>
                <w:highlight w:val="none"/>
              </w:rPr>
            </w:pPr>
          </w:p>
        </w:tc>
        <w:tc>
          <w:tcPr>
            <w:tcW w:w="840" w:type="dxa"/>
            <w:noWrap w:val="0"/>
            <w:vAlign w:val="top"/>
          </w:tcPr>
          <w:p w14:paraId="26D644E7">
            <w:pPr>
              <w:rPr>
                <w:rFonts w:hint="eastAsia" w:ascii="宋体" w:hAnsi="宋体" w:eastAsia="宋体" w:cs="宋体"/>
                <w:color w:val="auto"/>
                <w:sz w:val="24"/>
                <w:highlight w:val="none"/>
              </w:rPr>
            </w:pPr>
          </w:p>
        </w:tc>
        <w:tc>
          <w:tcPr>
            <w:tcW w:w="1260" w:type="dxa"/>
            <w:noWrap w:val="0"/>
            <w:vAlign w:val="top"/>
          </w:tcPr>
          <w:p w14:paraId="6100CD76">
            <w:pPr>
              <w:rPr>
                <w:rFonts w:hint="eastAsia" w:ascii="宋体" w:hAnsi="宋体" w:eastAsia="宋体" w:cs="宋体"/>
                <w:color w:val="auto"/>
                <w:sz w:val="24"/>
                <w:highlight w:val="none"/>
              </w:rPr>
            </w:pPr>
          </w:p>
        </w:tc>
        <w:tc>
          <w:tcPr>
            <w:tcW w:w="1340" w:type="dxa"/>
            <w:noWrap w:val="0"/>
            <w:vAlign w:val="top"/>
          </w:tcPr>
          <w:p w14:paraId="2FFEB3E6">
            <w:pPr>
              <w:rPr>
                <w:rFonts w:hint="eastAsia" w:ascii="宋体" w:hAnsi="宋体" w:eastAsia="宋体" w:cs="宋体"/>
                <w:color w:val="auto"/>
                <w:sz w:val="24"/>
                <w:highlight w:val="none"/>
              </w:rPr>
            </w:pPr>
          </w:p>
        </w:tc>
        <w:tc>
          <w:tcPr>
            <w:tcW w:w="922" w:type="dxa"/>
            <w:noWrap w:val="0"/>
            <w:vAlign w:val="top"/>
          </w:tcPr>
          <w:p w14:paraId="1357A7E1">
            <w:pPr>
              <w:rPr>
                <w:rFonts w:hint="eastAsia" w:ascii="宋体" w:hAnsi="宋体" w:eastAsia="宋体" w:cs="宋体"/>
                <w:color w:val="auto"/>
                <w:sz w:val="24"/>
                <w:highlight w:val="none"/>
              </w:rPr>
            </w:pPr>
          </w:p>
        </w:tc>
      </w:tr>
      <w:tr w14:paraId="06214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CB05AA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205" w:type="dxa"/>
            <w:noWrap w:val="0"/>
            <w:vAlign w:val="top"/>
          </w:tcPr>
          <w:p w14:paraId="7A21A413">
            <w:pPr>
              <w:rPr>
                <w:rFonts w:hint="eastAsia" w:ascii="宋体" w:hAnsi="宋体" w:eastAsia="宋体" w:cs="宋体"/>
                <w:color w:val="auto"/>
                <w:sz w:val="24"/>
                <w:highlight w:val="none"/>
              </w:rPr>
            </w:pPr>
          </w:p>
        </w:tc>
        <w:tc>
          <w:tcPr>
            <w:tcW w:w="957" w:type="dxa"/>
            <w:noWrap w:val="0"/>
            <w:vAlign w:val="top"/>
          </w:tcPr>
          <w:p w14:paraId="4289DF32">
            <w:pPr>
              <w:rPr>
                <w:rFonts w:hint="eastAsia" w:ascii="宋体" w:hAnsi="宋体" w:eastAsia="宋体" w:cs="宋体"/>
                <w:color w:val="auto"/>
                <w:sz w:val="24"/>
                <w:highlight w:val="none"/>
              </w:rPr>
            </w:pPr>
          </w:p>
        </w:tc>
        <w:tc>
          <w:tcPr>
            <w:tcW w:w="840" w:type="dxa"/>
            <w:noWrap w:val="0"/>
            <w:vAlign w:val="top"/>
          </w:tcPr>
          <w:p w14:paraId="5753EACA">
            <w:pPr>
              <w:rPr>
                <w:rFonts w:hint="eastAsia" w:ascii="宋体" w:hAnsi="宋体" w:eastAsia="宋体" w:cs="宋体"/>
                <w:color w:val="auto"/>
                <w:sz w:val="24"/>
                <w:highlight w:val="none"/>
              </w:rPr>
            </w:pPr>
          </w:p>
        </w:tc>
        <w:tc>
          <w:tcPr>
            <w:tcW w:w="1260" w:type="dxa"/>
            <w:noWrap w:val="0"/>
            <w:vAlign w:val="top"/>
          </w:tcPr>
          <w:p w14:paraId="511435C1">
            <w:pPr>
              <w:rPr>
                <w:rFonts w:hint="eastAsia" w:ascii="宋体" w:hAnsi="宋体" w:eastAsia="宋体" w:cs="宋体"/>
                <w:color w:val="auto"/>
                <w:sz w:val="24"/>
                <w:highlight w:val="none"/>
              </w:rPr>
            </w:pPr>
          </w:p>
        </w:tc>
        <w:tc>
          <w:tcPr>
            <w:tcW w:w="1340" w:type="dxa"/>
            <w:noWrap w:val="0"/>
            <w:vAlign w:val="top"/>
          </w:tcPr>
          <w:p w14:paraId="75E8CD37">
            <w:pPr>
              <w:rPr>
                <w:rFonts w:hint="eastAsia" w:ascii="宋体" w:hAnsi="宋体" w:eastAsia="宋体" w:cs="宋体"/>
                <w:color w:val="auto"/>
                <w:sz w:val="24"/>
                <w:highlight w:val="none"/>
              </w:rPr>
            </w:pPr>
          </w:p>
        </w:tc>
        <w:tc>
          <w:tcPr>
            <w:tcW w:w="922" w:type="dxa"/>
            <w:noWrap w:val="0"/>
            <w:vAlign w:val="top"/>
          </w:tcPr>
          <w:p w14:paraId="2CC8A5A7">
            <w:pPr>
              <w:rPr>
                <w:rFonts w:hint="eastAsia" w:ascii="宋体" w:hAnsi="宋体" w:eastAsia="宋体" w:cs="宋体"/>
                <w:color w:val="auto"/>
                <w:sz w:val="24"/>
                <w:highlight w:val="none"/>
              </w:rPr>
            </w:pPr>
          </w:p>
        </w:tc>
      </w:tr>
      <w:tr w14:paraId="4FF2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61E9F8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205" w:type="dxa"/>
            <w:noWrap w:val="0"/>
            <w:vAlign w:val="top"/>
          </w:tcPr>
          <w:p w14:paraId="5B571316">
            <w:pPr>
              <w:rPr>
                <w:rFonts w:hint="eastAsia" w:ascii="宋体" w:hAnsi="宋体" w:eastAsia="宋体" w:cs="宋体"/>
                <w:color w:val="auto"/>
                <w:sz w:val="24"/>
                <w:highlight w:val="none"/>
              </w:rPr>
            </w:pPr>
          </w:p>
        </w:tc>
        <w:tc>
          <w:tcPr>
            <w:tcW w:w="957" w:type="dxa"/>
            <w:noWrap w:val="0"/>
            <w:vAlign w:val="top"/>
          </w:tcPr>
          <w:p w14:paraId="7EB0A651">
            <w:pPr>
              <w:rPr>
                <w:rFonts w:hint="eastAsia" w:ascii="宋体" w:hAnsi="宋体" w:eastAsia="宋体" w:cs="宋体"/>
                <w:color w:val="auto"/>
                <w:sz w:val="24"/>
                <w:highlight w:val="none"/>
              </w:rPr>
            </w:pPr>
          </w:p>
        </w:tc>
        <w:tc>
          <w:tcPr>
            <w:tcW w:w="840" w:type="dxa"/>
            <w:noWrap w:val="0"/>
            <w:vAlign w:val="top"/>
          </w:tcPr>
          <w:p w14:paraId="57A87317">
            <w:pPr>
              <w:rPr>
                <w:rFonts w:hint="eastAsia" w:ascii="宋体" w:hAnsi="宋体" w:eastAsia="宋体" w:cs="宋体"/>
                <w:color w:val="auto"/>
                <w:sz w:val="24"/>
                <w:highlight w:val="none"/>
              </w:rPr>
            </w:pPr>
          </w:p>
        </w:tc>
        <w:tc>
          <w:tcPr>
            <w:tcW w:w="1260" w:type="dxa"/>
            <w:noWrap w:val="0"/>
            <w:vAlign w:val="top"/>
          </w:tcPr>
          <w:p w14:paraId="4C8C00A1">
            <w:pPr>
              <w:rPr>
                <w:rFonts w:hint="eastAsia" w:ascii="宋体" w:hAnsi="宋体" w:eastAsia="宋体" w:cs="宋体"/>
                <w:color w:val="auto"/>
                <w:sz w:val="24"/>
                <w:highlight w:val="none"/>
              </w:rPr>
            </w:pPr>
          </w:p>
        </w:tc>
        <w:tc>
          <w:tcPr>
            <w:tcW w:w="1340" w:type="dxa"/>
            <w:noWrap w:val="0"/>
            <w:vAlign w:val="top"/>
          </w:tcPr>
          <w:p w14:paraId="603124A0">
            <w:pPr>
              <w:rPr>
                <w:rFonts w:hint="eastAsia" w:ascii="宋体" w:hAnsi="宋体" w:eastAsia="宋体" w:cs="宋体"/>
                <w:color w:val="auto"/>
                <w:sz w:val="24"/>
                <w:highlight w:val="none"/>
              </w:rPr>
            </w:pPr>
          </w:p>
        </w:tc>
        <w:tc>
          <w:tcPr>
            <w:tcW w:w="922" w:type="dxa"/>
            <w:noWrap w:val="0"/>
            <w:vAlign w:val="top"/>
          </w:tcPr>
          <w:p w14:paraId="30219168">
            <w:pPr>
              <w:rPr>
                <w:rFonts w:hint="eastAsia" w:ascii="宋体" w:hAnsi="宋体" w:eastAsia="宋体" w:cs="宋体"/>
                <w:color w:val="auto"/>
                <w:sz w:val="24"/>
                <w:highlight w:val="none"/>
              </w:rPr>
            </w:pPr>
          </w:p>
        </w:tc>
      </w:tr>
      <w:tr w14:paraId="3F07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246509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205" w:type="dxa"/>
            <w:noWrap w:val="0"/>
            <w:vAlign w:val="top"/>
          </w:tcPr>
          <w:p w14:paraId="0FE96A43">
            <w:pPr>
              <w:rPr>
                <w:rFonts w:hint="eastAsia" w:ascii="宋体" w:hAnsi="宋体" w:eastAsia="宋体" w:cs="宋体"/>
                <w:color w:val="auto"/>
                <w:sz w:val="24"/>
                <w:highlight w:val="none"/>
              </w:rPr>
            </w:pPr>
          </w:p>
        </w:tc>
        <w:tc>
          <w:tcPr>
            <w:tcW w:w="957" w:type="dxa"/>
            <w:noWrap w:val="0"/>
            <w:vAlign w:val="top"/>
          </w:tcPr>
          <w:p w14:paraId="33F9C1BF">
            <w:pPr>
              <w:rPr>
                <w:rFonts w:hint="eastAsia" w:ascii="宋体" w:hAnsi="宋体" w:eastAsia="宋体" w:cs="宋体"/>
                <w:color w:val="auto"/>
                <w:sz w:val="24"/>
                <w:highlight w:val="none"/>
              </w:rPr>
            </w:pPr>
          </w:p>
        </w:tc>
        <w:tc>
          <w:tcPr>
            <w:tcW w:w="840" w:type="dxa"/>
            <w:noWrap w:val="0"/>
            <w:vAlign w:val="top"/>
          </w:tcPr>
          <w:p w14:paraId="76A72332">
            <w:pPr>
              <w:rPr>
                <w:rFonts w:hint="eastAsia" w:ascii="宋体" w:hAnsi="宋体" w:eastAsia="宋体" w:cs="宋体"/>
                <w:color w:val="auto"/>
                <w:sz w:val="24"/>
                <w:highlight w:val="none"/>
              </w:rPr>
            </w:pPr>
          </w:p>
        </w:tc>
        <w:tc>
          <w:tcPr>
            <w:tcW w:w="1260" w:type="dxa"/>
            <w:noWrap w:val="0"/>
            <w:vAlign w:val="top"/>
          </w:tcPr>
          <w:p w14:paraId="525A550C">
            <w:pPr>
              <w:rPr>
                <w:rFonts w:hint="eastAsia" w:ascii="宋体" w:hAnsi="宋体" w:eastAsia="宋体" w:cs="宋体"/>
                <w:color w:val="auto"/>
                <w:sz w:val="24"/>
                <w:highlight w:val="none"/>
              </w:rPr>
            </w:pPr>
          </w:p>
        </w:tc>
        <w:tc>
          <w:tcPr>
            <w:tcW w:w="1340" w:type="dxa"/>
            <w:noWrap w:val="0"/>
            <w:vAlign w:val="top"/>
          </w:tcPr>
          <w:p w14:paraId="00BCCAF0">
            <w:pPr>
              <w:rPr>
                <w:rFonts w:hint="eastAsia" w:ascii="宋体" w:hAnsi="宋体" w:eastAsia="宋体" w:cs="宋体"/>
                <w:color w:val="auto"/>
                <w:sz w:val="24"/>
                <w:highlight w:val="none"/>
              </w:rPr>
            </w:pPr>
          </w:p>
        </w:tc>
        <w:tc>
          <w:tcPr>
            <w:tcW w:w="922" w:type="dxa"/>
            <w:noWrap w:val="0"/>
            <w:vAlign w:val="top"/>
          </w:tcPr>
          <w:p w14:paraId="4DE2CE8D">
            <w:pPr>
              <w:rPr>
                <w:rFonts w:hint="eastAsia" w:ascii="宋体" w:hAnsi="宋体" w:eastAsia="宋体" w:cs="宋体"/>
                <w:color w:val="auto"/>
                <w:sz w:val="24"/>
                <w:highlight w:val="none"/>
              </w:rPr>
            </w:pPr>
          </w:p>
        </w:tc>
      </w:tr>
      <w:tr w14:paraId="7B3D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03FF8A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205" w:type="dxa"/>
            <w:noWrap w:val="0"/>
            <w:vAlign w:val="top"/>
          </w:tcPr>
          <w:p w14:paraId="0AC961BF">
            <w:pPr>
              <w:rPr>
                <w:rFonts w:hint="eastAsia" w:ascii="宋体" w:hAnsi="宋体" w:eastAsia="宋体" w:cs="宋体"/>
                <w:color w:val="auto"/>
                <w:sz w:val="24"/>
                <w:highlight w:val="none"/>
              </w:rPr>
            </w:pPr>
          </w:p>
        </w:tc>
        <w:tc>
          <w:tcPr>
            <w:tcW w:w="957" w:type="dxa"/>
            <w:noWrap w:val="0"/>
            <w:vAlign w:val="top"/>
          </w:tcPr>
          <w:p w14:paraId="7BAA8879">
            <w:pPr>
              <w:rPr>
                <w:rFonts w:hint="eastAsia" w:ascii="宋体" w:hAnsi="宋体" w:eastAsia="宋体" w:cs="宋体"/>
                <w:color w:val="auto"/>
                <w:sz w:val="24"/>
                <w:highlight w:val="none"/>
              </w:rPr>
            </w:pPr>
          </w:p>
        </w:tc>
        <w:tc>
          <w:tcPr>
            <w:tcW w:w="840" w:type="dxa"/>
            <w:noWrap w:val="0"/>
            <w:vAlign w:val="top"/>
          </w:tcPr>
          <w:p w14:paraId="04127840">
            <w:pPr>
              <w:rPr>
                <w:rFonts w:hint="eastAsia" w:ascii="宋体" w:hAnsi="宋体" w:eastAsia="宋体" w:cs="宋体"/>
                <w:color w:val="auto"/>
                <w:sz w:val="24"/>
                <w:highlight w:val="none"/>
              </w:rPr>
            </w:pPr>
          </w:p>
        </w:tc>
        <w:tc>
          <w:tcPr>
            <w:tcW w:w="1260" w:type="dxa"/>
            <w:noWrap w:val="0"/>
            <w:vAlign w:val="top"/>
          </w:tcPr>
          <w:p w14:paraId="60BB3E98">
            <w:pPr>
              <w:rPr>
                <w:rFonts w:hint="eastAsia" w:ascii="宋体" w:hAnsi="宋体" w:eastAsia="宋体" w:cs="宋体"/>
                <w:color w:val="auto"/>
                <w:sz w:val="24"/>
                <w:highlight w:val="none"/>
              </w:rPr>
            </w:pPr>
          </w:p>
        </w:tc>
        <w:tc>
          <w:tcPr>
            <w:tcW w:w="1340" w:type="dxa"/>
            <w:noWrap w:val="0"/>
            <w:vAlign w:val="top"/>
          </w:tcPr>
          <w:p w14:paraId="34DE7983">
            <w:pPr>
              <w:rPr>
                <w:rFonts w:hint="eastAsia" w:ascii="宋体" w:hAnsi="宋体" w:eastAsia="宋体" w:cs="宋体"/>
                <w:color w:val="auto"/>
                <w:sz w:val="24"/>
                <w:highlight w:val="none"/>
              </w:rPr>
            </w:pPr>
          </w:p>
        </w:tc>
        <w:tc>
          <w:tcPr>
            <w:tcW w:w="922" w:type="dxa"/>
            <w:noWrap w:val="0"/>
            <w:vAlign w:val="top"/>
          </w:tcPr>
          <w:p w14:paraId="26D32866">
            <w:pPr>
              <w:rPr>
                <w:rFonts w:hint="eastAsia" w:ascii="宋体" w:hAnsi="宋体" w:eastAsia="宋体" w:cs="宋体"/>
                <w:color w:val="auto"/>
                <w:sz w:val="24"/>
                <w:highlight w:val="none"/>
              </w:rPr>
            </w:pPr>
          </w:p>
        </w:tc>
      </w:tr>
      <w:tr w14:paraId="713F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4109A0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205" w:type="dxa"/>
            <w:noWrap w:val="0"/>
            <w:vAlign w:val="top"/>
          </w:tcPr>
          <w:p w14:paraId="1A707A03">
            <w:pPr>
              <w:rPr>
                <w:rFonts w:hint="eastAsia" w:ascii="宋体" w:hAnsi="宋体" w:eastAsia="宋体" w:cs="宋体"/>
                <w:color w:val="auto"/>
                <w:sz w:val="24"/>
                <w:highlight w:val="none"/>
              </w:rPr>
            </w:pPr>
          </w:p>
        </w:tc>
        <w:tc>
          <w:tcPr>
            <w:tcW w:w="957" w:type="dxa"/>
            <w:noWrap w:val="0"/>
            <w:vAlign w:val="top"/>
          </w:tcPr>
          <w:p w14:paraId="6BADA8B2">
            <w:pPr>
              <w:rPr>
                <w:rFonts w:hint="eastAsia" w:ascii="宋体" w:hAnsi="宋体" w:eastAsia="宋体" w:cs="宋体"/>
                <w:color w:val="auto"/>
                <w:sz w:val="24"/>
                <w:highlight w:val="none"/>
              </w:rPr>
            </w:pPr>
          </w:p>
        </w:tc>
        <w:tc>
          <w:tcPr>
            <w:tcW w:w="840" w:type="dxa"/>
            <w:noWrap w:val="0"/>
            <w:vAlign w:val="top"/>
          </w:tcPr>
          <w:p w14:paraId="57601831">
            <w:pPr>
              <w:rPr>
                <w:rFonts w:hint="eastAsia" w:ascii="宋体" w:hAnsi="宋体" w:eastAsia="宋体" w:cs="宋体"/>
                <w:color w:val="auto"/>
                <w:sz w:val="24"/>
                <w:highlight w:val="none"/>
              </w:rPr>
            </w:pPr>
          </w:p>
        </w:tc>
        <w:tc>
          <w:tcPr>
            <w:tcW w:w="1260" w:type="dxa"/>
            <w:noWrap w:val="0"/>
            <w:vAlign w:val="top"/>
          </w:tcPr>
          <w:p w14:paraId="152CAB73">
            <w:pPr>
              <w:rPr>
                <w:rFonts w:hint="eastAsia" w:ascii="宋体" w:hAnsi="宋体" w:eastAsia="宋体" w:cs="宋体"/>
                <w:color w:val="auto"/>
                <w:sz w:val="24"/>
                <w:highlight w:val="none"/>
              </w:rPr>
            </w:pPr>
          </w:p>
        </w:tc>
        <w:tc>
          <w:tcPr>
            <w:tcW w:w="1340" w:type="dxa"/>
            <w:noWrap w:val="0"/>
            <w:vAlign w:val="top"/>
          </w:tcPr>
          <w:p w14:paraId="2A0A976C">
            <w:pPr>
              <w:rPr>
                <w:rFonts w:hint="eastAsia" w:ascii="宋体" w:hAnsi="宋体" w:eastAsia="宋体" w:cs="宋体"/>
                <w:color w:val="auto"/>
                <w:sz w:val="24"/>
                <w:highlight w:val="none"/>
              </w:rPr>
            </w:pPr>
          </w:p>
        </w:tc>
        <w:tc>
          <w:tcPr>
            <w:tcW w:w="922" w:type="dxa"/>
            <w:noWrap w:val="0"/>
            <w:vAlign w:val="top"/>
          </w:tcPr>
          <w:p w14:paraId="5662807D">
            <w:pPr>
              <w:rPr>
                <w:rFonts w:hint="eastAsia" w:ascii="宋体" w:hAnsi="宋体" w:eastAsia="宋体" w:cs="宋体"/>
                <w:color w:val="auto"/>
                <w:sz w:val="24"/>
                <w:highlight w:val="none"/>
              </w:rPr>
            </w:pPr>
          </w:p>
        </w:tc>
      </w:tr>
      <w:tr w14:paraId="4D74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DF9D66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205" w:type="dxa"/>
            <w:noWrap w:val="0"/>
            <w:vAlign w:val="top"/>
          </w:tcPr>
          <w:p w14:paraId="4490CF26">
            <w:pPr>
              <w:rPr>
                <w:rFonts w:hint="eastAsia" w:ascii="宋体" w:hAnsi="宋体" w:eastAsia="宋体" w:cs="宋体"/>
                <w:color w:val="auto"/>
                <w:sz w:val="24"/>
                <w:highlight w:val="none"/>
              </w:rPr>
            </w:pPr>
          </w:p>
        </w:tc>
        <w:tc>
          <w:tcPr>
            <w:tcW w:w="957" w:type="dxa"/>
            <w:noWrap w:val="0"/>
            <w:vAlign w:val="top"/>
          </w:tcPr>
          <w:p w14:paraId="69690F98">
            <w:pPr>
              <w:rPr>
                <w:rFonts w:hint="eastAsia" w:ascii="宋体" w:hAnsi="宋体" w:eastAsia="宋体" w:cs="宋体"/>
                <w:color w:val="auto"/>
                <w:sz w:val="24"/>
                <w:highlight w:val="none"/>
              </w:rPr>
            </w:pPr>
          </w:p>
        </w:tc>
        <w:tc>
          <w:tcPr>
            <w:tcW w:w="840" w:type="dxa"/>
            <w:noWrap w:val="0"/>
            <w:vAlign w:val="top"/>
          </w:tcPr>
          <w:p w14:paraId="20CEA9C8">
            <w:pPr>
              <w:rPr>
                <w:rFonts w:hint="eastAsia" w:ascii="宋体" w:hAnsi="宋体" w:eastAsia="宋体" w:cs="宋体"/>
                <w:color w:val="auto"/>
                <w:sz w:val="24"/>
                <w:highlight w:val="none"/>
              </w:rPr>
            </w:pPr>
          </w:p>
        </w:tc>
        <w:tc>
          <w:tcPr>
            <w:tcW w:w="1260" w:type="dxa"/>
            <w:noWrap w:val="0"/>
            <w:vAlign w:val="top"/>
          </w:tcPr>
          <w:p w14:paraId="0DF1BA07">
            <w:pPr>
              <w:rPr>
                <w:rFonts w:hint="eastAsia" w:ascii="宋体" w:hAnsi="宋体" w:eastAsia="宋体" w:cs="宋体"/>
                <w:color w:val="auto"/>
                <w:sz w:val="24"/>
                <w:highlight w:val="none"/>
              </w:rPr>
            </w:pPr>
          </w:p>
        </w:tc>
        <w:tc>
          <w:tcPr>
            <w:tcW w:w="1340" w:type="dxa"/>
            <w:noWrap w:val="0"/>
            <w:vAlign w:val="top"/>
          </w:tcPr>
          <w:p w14:paraId="3AEB8C24">
            <w:pPr>
              <w:rPr>
                <w:rFonts w:hint="eastAsia" w:ascii="宋体" w:hAnsi="宋体" w:eastAsia="宋体" w:cs="宋体"/>
                <w:color w:val="auto"/>
                <w:sz w:val="24"/>
                <w:highlight w:val="none"/>
              </w:rPr>
            </w:pPr>
          </w:p>
        </w:tc>
        <w:tc>
          <w:tcPr>
            <w:tcW w:w="922" w:type="dxa"/>
            <w:noWrap w:val="0"/>
            <w:vAlign w:val="top"/>
          </w:tcPr>
          <w:p w14:paraId="29AAE909">
            <w:pPr>
              <w:rPr>
                <w:rFonts w:hint="eastAsia" w:ascii="宋体" w:hAnsi="宋体" w:eastAsia="宋体" w:cs="宋体"/>
                <w:color w:val="auto"/>
                <w:sz w:val="24"/>
                <w:highlight w:val="none"/>
              </w:rPr>
            </w:pPr>
          </w:p>
        </w:tc>
      </w:tr>
      <w:tr w14:paraId="5A56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C8B93E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205" w:type="dxa"/>
            <w:noWrap w:val="0"/>
            <w:vAlign w:val="top"/>
          </w:tcPr>
          <w:p w14:paraId="58F1D2A4">
            <w:pPr>
              <w:rPr>
                <w:rFonts w:hint="eastAsia" w:ascii="宋体" w:hAnsi="宋体" w:eastAsia="宋体" w:cs="宋体"/>
                <w:color w:val="auto"/>
                <w:sz w:val="24"/>
                <w:highlight w:val="none"/>
              </w:rPr>
            </w:pPr>
          </w:p>
        </w:tc>
        <w:tc>
          <w:tcPr>
            <w:tcW w:w="957" w:type="dxa"/>
            <w:noWrap w:val="0"/>
            <w:vAlign w:val="top"/>
          </w:tcPr>
          <w:p w14:paraId="24776A04">
            <w:pPr>
              <w:rPr>
                <w:rFonts w:hint="eastAsia" w:ascii="宋体" w:hAnsi="宋体" w:eastAsia="宋体" w:cs="宋体"/>
                <w:color w:val="auto"/>
                <w:sz w:val="24"/>
                <w:highlight w:val="none"/>
              </w:rPr>
            </w:pPr>
          </w:p>
        </w:tc>
        <w:tc>
          <w:tcPr>
            <w:tcW w:w="840" w:type="dxa"/>
            <w:noWrap w:val="0"/>
            <w:vAlign w:val="top"/>
          </w:tcPr>
          <w:p w14:paraId="2ECFDC94">
            <w:pPr>
              <w:rPr>
                <w:rFonts w:hint="eastAsia" w:ascii="宋体" w:hAnsi="宋体" w:eastAsia="宋体" w:cs="宋体"/>
                <w:color w:val="auto"/>
                <w:sz w:val="24"/>
                <w:highlight w:val="none"/>
              </w:rPr>
            </w:pPr>
          </w:p>
        </w:tc>
        <w:tc>
          <w:tcPr>
            <w:tcW w:w="1260" w:type="dxa"/>
            <w:noWrap w:val="0"/>
            <w:vAlign w:val="top"/>
          </w:tcPr>
          <w:p w14:paraId="616BB8FA">
            <w:pPr>
              <w:rPr>
                <w:rFonts w:hint="eastAsia" w:ascii="宋体" w:hAnsi="宋体" w:eastAsia="宋体" w:cs="宋体"/>
                <w:color w:val="auto"/>
                <w:sz w:val="24"/>
                <w:highlight w:val="none"/>
              </w:rPr>
            </w:pPr>
          </w:p>
        </w:tc>
        <w:tc>
          <w:tcPr>
            <w:tcW w:w="1340" w:type="dxa"/>
            <w:noWrap w:val="0"/>
            <w:vAlign w:val="top"/>
          </w:tcPr>
          <w:p w14:paraId="2084EEC0">
            <w:pPr>
              <w:rPr>
                <w:rFonts w:hint="eastAsia" w:ascii="宋体" w:hAnsi="宋体" w:eastAsia="宋体" w:cs="宋体"/>
                <w:color w:val="auto"/>
                <w:sz w:val="24"/>
                <w:highlight w:val="none"/>
              </w:rPr>
            </w:pPr>
          </w:p>
        </w:tc>
        <w:tc>
          <w:tcPr>
            <w:tcW w:w="922" w:type="dxa"/>
            <w:noWrap w:val="0"/>
            <w:vAlign w:val="top"/>
          </w:tcPr>
          <w:p w14:paraId="3505A093">
            <w:pPr>
              <w:rPr>
                <w:rFonts w:hint="eastAsia" w:ascii="宋体" w:hAnsi="宋体" w:eastAsia="宋体" w:cs="宋体"/>
                <w:color w:val="auto"/>
                <w:sz w:val="24"/>
                <w:highlight w:val="none"/>
              </w:rPr>
            </w:pPr>
          </w:p>
        </w:tc>
      </w:tr>
      <w:tr w14:paraId="4E96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788078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205" w:type="dxa"/>
            <w:noWrap w:val="0"/>
            <w:vAlign w:val="top"/>
          </w:tcPr>
          <w:p w14:paraId="0D7BC03D">
            <w:pPr>
              <w:rPr>
                <w:rFonts w:hint="eastAsia" w:ascii="宋体" w:hAnsi="宋体" w:eastAsia="宋体" w:cs="宋体"/>
                <w:color w:val="auto"/>
                <w:sz w:val="24"/>
                <w:highlight w:val="none"/>
              </w:rPr>
            </w:pPr>
          </w:p>
        </w:tc>
        <w:tc>
          <w:tcPr>
            <w:tcW w:w="957" w:type="dxa"/>
            <w:noWrap w:val="0"/>
            <w:vAlign w:val="top"/>
          </w:tcPr>
          <w:p w14:paraId="679CFC77">
            <w:pPr>
              <w:rPr>
                <w:rFonts w:hint="eastAsia" w:ascii="宋体" w:hAnsi="宋体" w:eastAsia="宋体" w:cs="宋体"/>
                <w:color w:val="auto"/>
                <w:sz w:val="24"/>
                <w:highlight w:val="none"/>
              </w:rPr>
            </w:pPr>
          </w:p>
        </w:tc>
        <w:tc>
          <w:tcPr>
            <w:tcW w:w="840" w:type="dxa"/>
            <w:noWrap w:val="0"/>
            <w:vAlign w:val="top"/>
          </w:tcPr>
          <w:p w14:paraId="16561C6C">
            <w:pPr>
              <w:rPr>
                <w:rFonts w:hint="eastAsia" w:ascii="宋体" w:hAnsi="宋体" w:eastAsia="宋体" w:cs="宋体"/>
                <w:color w:val="auto"/>
                <w:sz w:val="24"/>
                <w:highlight w:val="none"/>
              </w:rPr>
            </w:pPr>
          </w:p>
        </w:tc>
        <w:tc>
          <w:tcPr>
            <w:tcW w:w="1260" w:type="dxa"/>
            <w:noWrap w:val="0"/>
            <w:vAlign w:val="top"/>
          </w:tcPr>
          <w:p w14:paraId="341A6A0E">
            <w:pPr>
              <w:rPr>
                <w:rFonts w:hint="eastAsia" w:ascii="宋体" w:hAnsi="宋体" w:eastAsia="宋体" w:cs="宋体"/>
                <w:color w:val="auto"/>
                <w:sz w:val="24"/>
                <w:highlight w:val="none"/>
              </w:rPr>
            </w:pPr>
          </w:p>
        </w:tc>
        <w:tc>
          <w:tcPr>
            <w:tcW w:w="1340" w:type="dxa"/>
            <w:noWrap w:val="0"/>
            <w:vAlign w:val="top"/>
          </w:tcPr>
          <w:p w14:paraId="06889394">
            <w:pPr>
              <w:rPr>
                <w:rFonts w:hint="eastAsia" w:ascii="宋体" w:hAnsi="宋体" w:eastAsia="宋体" w:cs="宋体"/>
                <w:color w:val="auto"/>
                <w:sz w:val="24"/>
                <w:highlight w:val="none"/>
              </w:rPr>
            </w:pPr>
          </w:p>
        </w:tc>
        <w:tc>
          <w:tcPr>
            <w:tcW w:w="922" w:type="dxa"/>
            <w:noWrap w:val="0"/>
            <w:vAlign w:val="top"/>
          </w:tcPr>
          <w:p w14:paraId="12F04563">
            <w:pPr>
              <w:rPr>
                <w:rFonts w:hint="eastAsia" w:ascii="宋体" w:hAnsi="宋体" w:eastAsia="宋体" w:cs="宋体"/>
                <w:color w:val="auto"/>
                <w:sz w:val="24"/>
                <w:highlight w:val="none"/>
              </w:rPr>
            </w:pPr>
          </w:p>
        </w:tc>
      </w:tr>
      <w:tr w14:paraId="73CE4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E5602C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205" w:type="dxa"/>
            <w:noWrap w:val="0"/>
            <w:vAlign w:val="top"/>
          </w:tcPr>
          <w:p w14:paraId="1E46EAE0">
            <w:pPr>
              <w:rPr>
                <w:rFonts w:hint="eastAsia" w:ascii="宋体" w:hAnsi="宋体" w:eastAsia="宋体" w:cs="宋体"/>
                <w:color w:val="auto"/>
                <w:sz w:val="24"/>
                <w:highlight w:val="none"/>
              </w:rPr>
            </w:pPr>
          </w:p>
        </w:tc>
        <w:tc>
          <w:tcPr>
            <w:tcW w:w="957" w:type="dxa"/>
            <w:noWrap w:val="0"/>
            <w:vAlign w:val="top"/>
          </w:tcPr>
          <w:p w14:paraId="0C922C76">
            <w:pPr>
              <w:rPr>
                <w:rFonts w:hint="eastAsia" w:ascii="宋体" w:hAnsi="宋体" w:eastAsia="宋体" w:cs="宋体"/>
                <w:color w:val="auto"/>
                <w:sz w:val="24"/>
                <w:highlight w:val="none"/>
              </w:rPr>
            </w:pPr>
          </w:p>
        </w:tc>
        <w:tc>
          <w:tcPr>
            <w:tcW w:w="840" w:type="dxa"/>
            <w:noWrap w:val="0"/>
            <w:vAlign w:val="top"/>
          </w:tcPr>
          <w:p w14:paraId="4E17AB1A">
            <w:pPr>
              <w:rPr>
                <w:rFonts w:hint="eastAsia" w:ascii="宋体" w:hAnsi="宋体" w:eastAsia="宋体" w:cs="宋体"/>
                <w:color w:val="auto"/>
                <w:sz w:val="24"/>
                <w:highlight w:val="none"/>
              </w:rPr>
            </w:pPr>
          </w:p>
        </w:tc>
        <w:tc>
          <w:tcPr>
            <w:tcW w:w="1260" w:type="dxa"/>
            <w:noWrap w:val="0"/>
            <w:vAlign w:val="top"/>
          </w:tcPr>
          <w:p w14:paraId="386EFE90">
            <w:pPr>
              <w:rPr>
                <w:rFonts w:hint="eastAsia" w:ascii="宋体" w:hAnsi="宋体" w:eastAsia="宋体" w:cs="宋体"/>
                <w:color w:val="auto"/>
                <w:sz w:val="24"/>
                <w:highlight w:val="none"/>
              </w:rPr>
            </w:pPr>
          </w:p>
        </w:tc>
        <w:tc>
          <w:tcPr>
            <w:tcW w:w="1340" w:type="dxa"/>
            <w:noWrap w:val="0"/>
            <w:vAlign w:val="top"/>
          </w:tcPr>
          <w:p w14:paraId="252BCFE6">
            <w:pPr>
              <w:rPr>
                <w:rFonts w:hint="eastAsia" w:ascii="宋体" w:hAnsi="宋体" w:eastAsia="宋体" w:cs="宋体"/>
                <w:color w:val="auto"/>
                <w:sz w:val="24"/>
                <w:highlight w:val="none"/>
              </w:rPr>
            </w:pPr>
          </w:p>
        </w:tc>
        <w:tc>
          <w:tcPr>
            <w:tcW w:w="922" w:type="dxa"/>
            <w:noWrap w:val="0"/>
            <w:vAlign w:val="top"/>
          </w:tcPr>
          <w:p w14:paraId="56EB148D">
            <w:pPr>
              <w:rPr>
                <w:rFonts w:hint="eastAsia" w:ascii="宋体" w:hAnsi="宋体" w:eastAsia="宋体" w:cs="宋体"/>
                <w:color w:val="auto"/>
                <w:sz w:val="24"/>
                <w:highlight w:val="none"/>
              </w:rPr>
            </w:pPr>
          </w:p>
        </w:tc>
      </w:tr>
      <w:tr w14:paraId="6088D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B46050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205" w:type="dxa"/>
            <w:noWrap w:val="0"/>
            <w:vAlign w:val="top"/>
          </w:tcPr>
          <w:p w14:paraId="474550EF">
            <w:pPr>
              <w:rPr>
                <w:rFonts w:hint="eastAsia" w:ascii="宋体" w:hAnsi="宋体" w:eastAsia="宋体" w:cs="宋体"/>
                <w:color w:val="auto"/>
                <w:sz w:val="24"/>
                <w:highlight w:val="none"/>
              </w:rPr>
            </w:pPr>
          </w:p>
        </w:tc>
        <w:tc>
          <w:tcPr>
            <w:tcW w:w="957" w:type="dxa"/>
            <w:noWrap w:val="0"/>
            <w:vAlign w:val="top"/>
          </w:tcPr>
          <w:p w14:paraId="27089808">
            <w:pPr>
              <w:rPr>
                <w:rFonts w:hint="eastAsia" w:ascii="宋体" w:hAnsi="宋体" w:eastAsia="宋体" w:cs="宋体"/>
                <w:color w:val="auto"/>
                <w:sz w:val="24"/>
                <w:highlight w:val="none"/>
              </w:rPr>
            </w:pPr>
          </w:p>
        </w:tc>
        <w:tc>
          <w:tcPr>
            <w:tcW w:w="840" w:type="dxa"/>
            <w:noWrap w:val="0"/>
            <w:vAlign w:val="top"/>
          </w:tcPr>
          <w:p w14:paraId="6B97DC43">
            <w:pPr>
              <w:rPr>
                <w:rFonts w:hint="eastAsia" w:ascii="宋体" w:hAnsi="宋体" w:eastAsia="宋体" w:cs="宋体"/>
                <w:color w:val="auto"/>
                <w:sz w:val="24"/>
                <w:highlight w:val="none"/>
              </w:rPr>
            </w:pPr>
          </w:p>
        </w:tc>
        <w:tc>
          <w:tcPr>
            <w:tcW w:w="1260" w:type="dxa"/>
            <w:noWrap w:val="0"/>
            <w:vAlign w:val="top"/>
          </w:tcPr>
          <w:p w14:paraId="4FC66E21">
            <w:pPr>
              <w:rPr>
                <w:rFonts w:hint="eastAsia" w:ascii="宋体" w:hAnsi="宋体" w:eastAsia="宋体" w:cs="宋体"/>
                <w:color w:val="auto"/>
                <w:sz w:val="24"/>
                <w:highlight w:val="none"/>
              </w:rPr>
            </w:pPr>
          </w:p>
        </w:tc>
        <w:tc>
          <w:tcPr>
            <w:tcW w:w="1340" w:type="dxa"/>
            <w:noWrap w:val="0"/>
            <w:vAlign w:val="top"/>
          </w:tcPr>
          <w:p w14:paraId="43563859">
            <w:pPr>
              <w:rPr>
                <w:rFonts w:hint="eastAsia" w:ascii="宋体" w:hAnsi="宋体" w:eastAsia="宋体" w:cs="宋体"/>
                <w:color w:val="auto"/>
                <w:sz w:val="24"/>
                <w:highlight w:val="none"/>
              </w:rPr>
            </w:pPr>
          </w:p>
        </w:tc>
        <w:tc>
          <w:tcPr>
            <w:tcW w:w="922" w:type="dxa"/>
            <w:noWrap w:val="0"/>
            <w:vAlign w:val="top"/>
          </w:tcPr>
          <w:p w14:paraId="71542834">
            <w:pPr>
              <w:rPr>
                <w:rFonts w:hint="eastAsia" w:ascii="宋体" w:hAnsi="宋体" w:eastAsia="宋体" w:cs="宋体"/>
                <w:color w:val="auto"/>
                <w:sz w:val="24"/>
                <w:highlight w:val="none"/>
              </w:rPr>
            </w:pPr>
          </w:p>
        </w:tc>
      </w:tr>
      <w:tr w14:paraId="69A6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74157A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205" w:type="dxa"/>
            <w:noWrap w:val="0"/>
            <w:vAlign w:val="top"/>
          </w:tcPr>
          <w:p w14:paraId="1BA7604C">
            <w:pPr>
              <w:rPr>
                <w:rFonts w:hint="eastAsia" w:ascii="宋体" w:hAnsi="宋体" w:eastAsia="宋体" w:cs="宋体"/>
                <w:color w:val="auto"/>
                <w:sz w:val="24"/>
                <w:highlight w:val="none"/>
              </w:rPr>
            </w:pPr>
          </w:p>
        </w:tc>
        <w:tc>
          <w:tcPr>
            <w:tcW w:w="957" w:type="dxa"/>
            <w:noWrap w:val="0"/>
            <w:vAlign w:val="top"/>
          </w:tcPr>
          <w:p w14:paraId="44507012">
            <w:pPr>
              <w:rPr>
                <w:rFonts w:hint="eastAsia" w:ascii="宋体" w:hAnsi="宋体" w:eastAsia="宋体" w:cs="宋体"/>
                <w:color w:val="auto"/>
                <w:sz w:val="24"/>
                <w:highlight w:val="none"/>
              </w:rPr>
            </w:pPr>
          </w:p>
        </w:tc>
        <w:tc>
          <w:tcPr>
            <w:tcW w:w="840" w:type="dxa"/>
            <w:noWrap w:val="0"/>
            <w:vAlign w:val="top"/>
          </w:tcPr>
          <w:p w14:paraId="7763A2D9">
            <w:pPr>
              <w:rPr>
                <w:rFonts w:hint="eastAsia" w:ascii="宋体" w:hAnsi="宋体" w:eastAsia="宋体" w:cs="宋体"/>
                <w:color w:val="auto"/>
                <w:sz w:val="24"/>
                <w:highlight w:val="none"/>
              </w:rPr>
            </w:pPr>
          </w:p>
        </w:tc>
        <w:tc>
          <w:tcPr>
            <w:tcW w:w="1260" w:type="dxa"/>
            <w:noWrap w:val="0"/>
            <w:vAlign w:val="top"/>
          </w:tcPr>
          <w:p w14:paraId="3DB1BA4F">
            <w:pPr>
              <w:rPr>
                <w:rFonts w:hint="eastAsia" w:ascii="宋体" w:hAnsi="宋体" w:eastAsia="宋体" w:cs="宋体"/>
                <w:color w:val="auto"/>
                <w:sz w:val="24"/>
                <w:highlight w:val="none"/>
              </w:rPr>
            </w:pPr>
          </w:p>
        </w:tc>
        <w:tc>
          <w:tcPr>
            <w:tcW w:w="1340" w:type="dxa"/>
            <w:noWrap w:val="0"/>
            <w:vAlign w:val="top"/>
          </w:tcPr>
          <w:p w14:paraId="23D039B2">
            <w:pPr>
              <w:rPr>
                <w:rFonts w:hint="eastAsia" w:ascii="宋体" w:hAnsi="宋体" w:eastAsia="宋体" w:cs="宋体"/>
                <w:color w:val="auto"/>
                <w:sz w:val="24"/>
                <w:highlight w:val="none"/>
              </w:rPr>
            </w:pPr>
          </w:p>
        </w:tc>
        <w:tc>
          <w:tcPr>
            <w:tcW w:w="922" w:type="dxa"/>
            <w:noWrap w:val="0"/>
            <w:vAlign w:val="top"/>
          </w:tcPr>
          <w:p w14:paraId="1FF2FF69">
            <w:pPr>
              <w:rPr>
                <w:rFonts w:hint="eastAsia" w:ascii="宋体" w:hAnsi="宋体" w:eastAsia="宋体" w:cs="宋体"/>
                <w:color w:val="auto"/>
                <w:sz w:val="24"/>
                <w:highlight w:val="none"/>
              </w:rPr>
            </w:pPr>
          </w:p>
        </w:tc>
      </w:tr>
      <w:tr w14:paraId="0CA9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EB843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205" w:type="dxa"/>
            <w:noWrap w:val="0"/>
            <w:vAlign w:val="top"/>
          </w:tcPr>
          <w:p w14:paraId="654912B4">
            <w:pPr>
              <w:rPr>
                <w:rFonts w:hint="eastAsia" w:ascii="宋体" w:hAnsi="宋体" w:eastAsia="宋体" w:cs="宋体"/>
                <w:color w:val="auto"/>
                <w:sz w:val="24"/>
                <w:highlight w:val="none"/>
              </w:rPr>
            </w:pPr>
          </w:p>
        </w:tc>
        <w:tc>
          <w:tcPr>
            <w:tcW w:w="957" w:type="dxa"/>
            <w:noWrap w:val="0"/>
            <w:vAlign w:val="top"/>
          </w:tcPr>
          <w:p w14:paraId="7922FD89">
            <w:pPr>
              <w:rPr>
                <w:rFonts w:hint="eastAsia" w:ascii="宋体" w:hAnsi="宋体" w:eastAsia="宋体" w:cs="宋体"/>
                <w:color w:val="auto"/>
                <w:sz w:val="24"/>
                <w:highlight w:val="none"/>
              </w:rPr>
            </w:pPr>
          </w:p>
        </w:tc>
        <w:tc>
          <w:tcPr>
            <w:tcW w:w="840" w:type="dxa"/>
            <w:noWrap w:val="0"/>
            <w:vAlign w:val="top"/>
          </w:tcPr>
          <w:p w14:paraId="65EE4E3C">
            <w:pPr>
              <w:rPr>
                <w:rFonts w:hint="eastAsia" w:ascii="宋体" w:hAnsi="宋体" w:eastAsia="宋体" w:cs="宋体"/>
                <w:color w:val="auto"/>
                <w:sz w:val="24"/>
                <w:highlight w:val="none"/>
              </w:rPr>
            </w:pPr>
          </w:p>
        </w:tc>
        <w:tc>
          <w:tcPr>
            <w:tcW w:w="1260" w:type="dxa"/>
            <w:noWrap w:val="0"/>
            <w:vAlign w:val="top"/>
          </w:tcPr>
          <w:p w14:paraId="1A1E1F27">
            <w:pPr>
              <w:rPr>
                <w:rFonts w:hint="eastAsia" w:ascii="宋体" w:hAnsi="宋体" w:eastAsia="宋体" w:cs="宋体"/>
                <w:color w:val="auto"/>
                <w:sz w:val="24"/>
                <w:highlight w:val="none"/>
              </w:rPr>
            </w:pPr>
          </w:p>
        </w:tc>
        <w:tc>
          <w:tcPr>
            <w:tcW w:w="1340" w:type="dxa"/>
            <w:noWrap w:val="0"/>
            <w:vAlign w:val="top"/>
          </w:tcPr>
          <w:p w14:paraId="585FF34A">
            <w:pPr>
              <w:rPr>
                <w:rFonts w:hint="eastAsia" w:ascii="宋体" w:hAnsi="宋体" w:eastAsia="宋体" w:cs="宋体"/>
                <w:color w:val="auto"/>
                <w:sz w:val="24"/>
                <w:highlight w:val="none"/>
              </w:rPr>
            </w:pPr>
          </w:p>
        </w:tc>
        <w:tc>
          <w:tcPr>
            <w:tcW w:w="922" w:type="dxa"/>
            <w:noWrap w:val="0"/>
            <w:vAlign w:val="top"/>
          </w:tcPr>
          <w:p w14:paraId="59AEB4BD">
            <w:pPr>
              <w:rPr>
                <w:rFonts w:hint="eastAsia" w:ascii="宋体" w:hAnsi="宋体" w:eastAsia="宋体" w:cs="宋体"/>
                <w:color w:val="auto"/>
                <w:sz w:val="24"/>
                <w:highlight w:val="none"/>
              </w:rPr>
            </w:pPr>
          </w:p>
        </w:tc>
      </w:tr>
      <w:tr w14:paraId="1269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FF44235">
            <w:pPr>
              <w:jc w:val="center"/>
              <w:rPr>
                <w:rFonts w:hint="eastAsia" w:ascii="宋体" w:hAnsi="宋体" w:eastAsia="宋体" w:cs="宋体"/>
                <w:color w:val="auto"/>
                <w:sz w:val="24"/>
                <w:highlight w:val="none"/>
              </w:rPr>
            </w:pPr>
          </w:p>
        </w:tc>
        <w:tc>
          <w:tcPr>
            <w:tcW w:w="2205" w:type="dxa"/>
            <w:noWrap w:val="0"/>
            <w:vAlign w:val="center"/>
          </w:tcPr>
          <w:p w14:paraId="6CDBE782">
            <w:pPr>
              <w:pStyle w:val="32"/>
              <w:rPr>
                <w:rFonts w:hint="eastAsia" w:ascii="宋体" w:hAnsi="宋体" w:eastAsia="宋体" w:cs="宋体"/>
                <w:color w:val="auto"/>
                <w:highlight w:val="none"/>
              </w:rPr>
            </w:pPr>
            <w:r>
              <w:rPr>
                <w:rFonts w:hint="eastAsia" w:ascii="宋体" w:hAnsi="宋体" w:eastAsia="宋体" w:cs="宋体"/>
                <w:color w:val="auto"/>
                <w:highlight w:val="none"/>
              </w:rPr>
              <w:t>其他费用</w:t>
            </w:r>
          </w:p>
        </w:tc>
        <w:tc>
          <w:tcPr>
            <w:tcW w:w="957" w:type="dxa"/>
            <w:noWrap w:val="0"/>
            <w:vAlign w:val="top"/>
          </w:tcPr>
          <w:p w14:paraId="51241A83">
            <w:pPr>
              <w:rPr>
                <w:rFonts w:hint="eastAsia" w:ascii="宋体" w:hAnsi="宋体" w:eastAsia="宋体" w:cs="宋体"/>
                <w:color w:val="auto"/>
                <w:sz w:val="24"/>
                <w:highlight w:val="none"/>
              </w:rPr>
            </w:pPr>
          </w:p>
        </w:tc>
        <w:tc>
          <w:tcPr>
            <w:tcW w:w="840" w:type="dxa"/>
            <w:noWrap w:val="0"/>
            <w:vAlign w:val="top"/>
          </w:tcPr>
          <w:p w14:paraId="2F4155DD">
            <w:pPr>
              <w:rPr>
                <w:rFonts w:hint="eastAsia" w:ascii="宋体" w:hAnsi="宋体" w:eastAsia="宋体" w:cs="宋体"/>
                <w:color w:val="auto"/>
                <w:sz w:val="24"/>
                <w:highlight w:val="none"/>
              </w:rPr>
            </w:pPr>
          </w:p>
        </w:tc>
        <w:tc>
          <w:tcPr>
            <w:tcW w:w="1260" w:type="dxa"/>
            <w:noWrap w:val="0"/>
            <w:vAlign w:val="top"/>
          </w:tcPr>
          <w:p w14:paraId="11389FA1">
            <w:pPr>
              <w:rPr>
                <w:rFonts w:hint="eastAsia" w:ascii="宋体" w:hAnsi="宋体" w:eastAsia="宋体" w:cs="宋体"/>
                <w:color w:val="auto"/>
                <w:sz w:val="24"/>
                <w:highlight w:val="none"/>
              </w:rPr>
            </w:pPr>
          </w:p>
        </w:tc>
        <w:tc>
          <w:tcPr>
            <w:tcW w:w="1340" w:type="dxa"/>
            <w:noWrap w:val="0"/>
            <w:vAlign w:val="top"/>
          </w:tcPr>
          <w:p w14:paraId="08A2A9E7">
            <w:pPr>
              <w:rPr>
                <w:rFonts w:hint="eastAsia" w:ascii="宋体" w:hAnsi="宋体" w:eastAsia="宋体" w:cs="宋体"/>
                <w:color w:val="auto"/>
                <w:sz w:val="24"/>
                <w:highlight w:val="none"/>
              </w:rPr>
            </w:pPr>
          </w:p>
        </w:tc>
        <w:tc>
          <w:tcPr>
            <w:tcW w:w="922" w:type="dxa"/>
            <w:noWrap w:val="0"/>
            <w:vAlign w:val="top"/>
          </w:tcPr>
          <w:p w14:paraId="4EB7CF76">
            <w:pPr>
              <w:rPr>
                <w:rFonts w:hint="eastAsia" w:ascii="宋体" w:hAnsi="宋体" w:eastAsia="宋体" w:cs="宋体"/>
                <w:color w:val="auto"/>
                <w:sz w:val="24"/>
                <w:highlight w:val="none"/>
              </w:rPr>
            </w:pPr>
          </w:p>
        </w:tc>
      </w:tr>
      <w:tr w14:paraId="17C9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1654943">
            <w:pPr>
              <w:jc w:val="center"/>
              <w:rPr>
                <w:rFonts w:hint="eastAsia" w:ascii="宋体" w:hAnsi="宋体" w:eastAsia="宋体" w:cs="宋体"/>
                <w:color w:val="auto"/>
                <w:sz w:val="24"/>
                <w:highlight w:val="none"/>
              </w:rPr>
            </w:pPr>
          </w:p>
        </w:tc>
        <w:tc>
          <w:tcPr>
            <w:tcW w:w="2205" w:type="dxa"/>
            <w:noWrap w:val="0"/>
            <w:vAlign w:val="center"/>
          </w:tcPr>
          <w:p w14:paraId="654B6FD1">
            <w:pPr>
              <w:pStyle w:val="32"/>
              <w:rPr>
                <w:rFonts w:hint="eastAsia" w:ascii="宋体" w:hAnsi="宋体" w:eastAsia="宋体" w:cs="宋体"/>
                <w:color w:val="auto"/>
                <w:highlight w:val="none"/>
              </w:rPr>
            </w:pPr>
            <w:r>
              <w:rPr>
                <w:rFonts w:hint="eastAsia" w:ascii="宋体" w:hAnsi="宋体" w:eastAsia="宋体" w:cs="宋体"/>
                <w:color w:val="auto"/>
                <w:highlight w:val="none"/>
              </w:rPr>
              <w:t>合计</w:t>
            </w:r>
          </w:p>
        </w:tc>
        <w:tc>
          <w:tcPr>
            <w:tcW w:w="957" w:type="dxa"/>
            <w:noWrap w:val="0"/>
            <w:vAlign w:val="top"/>
          </w:tcPr>
          <w:p w14:paraId="6F8EA60C">
            <w:pPr>
              <w:rPr>
                <w:rFonts w:hint="eastAsia" w:ascii="宋体" w:hAnsi="宋体" w:eastAsia="宋体" w:cs="宋体"/>
                <w:color w:val="auto"/>
                <w:sz w:val="24"/>
                <w:highlight w:val="none"/>
              </w:rPr>
            </w:pPr>
          </w:p>
        </w:tc>
        <w:tc>
          <w:tcPr>
            <w:tcW w:w="840" w:type="dxa"/>
            <w:noWrap w:val="0"/>
            <w:vAlign w:val="top"/>
          </w:tcPr>
          <w:p w14:paraId="22C53CAA">
            <w:pPr>
              <w:rPr>
                <w:rFonts w:hint="eastAsia" w:ascii="宋体" w:hAnsi="宋体" w:eastAsia="宋体" w:cs="宋体"/>
                <w:color w:val="auto"/>
                <w:sz w:val="24"/>
                <w:highlight w:val="none"/>
              </w:rPr>
            </w:pPr>
          </w:p>
        </w:tc>
        <w:tc>
          <w:tcPr>
            <w:tcW w:w="1260" w:type="dxa"/>
            <w:noWrap w:val="0"/>
            <w:vAlign w:val="top"/>
          </w:tcPr>
          <w:p w14:paraId="7E78876E">
            <w:pPr>
              <w:rPr>
                <w:rFonts w:hint="eastAsia" w:ascii="宋体" w:hAnsi="宋体" w:eastAsia="宋体" w:cs="宋体"/>
                <w:color w:val="auto"/>
                <w:sz w:val="24"/>
                <w:highlight w:val="none"/>
              </w:rPr>
            </w:pPr>
          </w:p>
        </w:tc>
        <w:tc>
          <w:tcPr>
            <w:tcW w:w="1340" w:type="dxa"/>
            <w:noWrap w:val="0"/>
            <w:vAlign w:val="top"/>
          </w:tcPr>
          <w:p w14:paraId="47A64914">
            <w:pPr>
              <w:rPr>
                <w:rFonts w:hint="eastAsia" w:ascii="宋体" w:hAnsi="宋体" w:eastAsia="宋体" w:cs="宋体"/>
                <w:color w:val="auto"/>
                <w:sz w:val="24"/>
                <w:highlight w:val="none"/>
              </w:rPr>
            </w:pPr>
          </w:p>
        </w:tc>
        <w:tc>
          <w:tcPr>
            <w:tcW w:w="922" w:type="dxa"/>
            <w:noWrap w:val="0"/>
            <w:vAlign w:val="top"/>
          </w:tcPr>
          <w:p w14:paraId="5B9E5DEC">
            <w:pPr>
              <w:rPr>
                <w:rFonts w:hint="eastAsia" w:ascii="宋体" w:hAnsi="宋体" w:eastAsia="宋体" w:cs="宋体"/>
                <w:color w:val="auto"/>
                <w:sz w:val="24"/>
                <w:highlight w:val="none"/>
              </w:rPr>
            </w:pPr>
          </w:p>
        </w:tc>
        <w:bookmarkStart w:id="176" w:name="_Hlt533408944"/>
        <w:bookmarkStart w:id="177" w:name="_Hlt514495724"/>
      </w:tr>
      <w:bookmarkEnd w:id="141"/>
      <w:bookmarkEnd w:id="142"/>
      <w:bookmarkEnd w:id="143"/>
      <w:bookmarkEnd w:id="176"/>
      <w:bookmarkEnd w:id="177"/>
    </w:tbl>
    <w:p w14:paraId="7463616B">
      <w:pPr>
        <w:pStyle w:val="14"/>
        <w:spacing w:line="360" w:lineRule="auto"/>
        <w:rPr>
          <w:rFonts w:hint="eastAsia" w:ascii="宋体" w:hAnsi="宋体" w:eastAsia="宋体" w:cs="宋体"/>
          <w:color w:val="auto"/>
          <w:sz w:val="24"/>
          <w:highlight w:val="none"/>
        </w:rPr>
      </w:pPr>
      <w:bookmarkStart w:id="178" w:name="_Toc27270_WPSOffice_Level2"/>
      <w:bookmarkStart w:id="179" w:name="_Toc197934552"/>
    </w:p>
    <w:p w14:paraId="486F2935">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12E67630">
      <w:pPr>
        <w:spacing w:line="380" w:lineRule="exact"/>
        <w:ind w:right="640" w:firstLine="1560" w:firstLineChars="650"/>
        <w:rPr>
          <w:rFonts w:hint="eastAsia" w:ascii="宋体" w:hAnsi="宋体" w:eastAsia="宋体" w:cs="宋体"/>
          <w:color w:val="auto"/>
          <w:sz w:val="24"/>
          <w:highlight w:val="none"/>
        </w:rPr>
      </w:pPr>
    </w:p>
    <w:p w14:paraId="18BF9649">
      <w:pPr>
        <w:spacing w:line="380" w:lineRule="exact"/>
        <w:ind w:right="640"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044ECB17">
      <w:pPr>
        <w:spacing w:line="380" w:lineRule="exact"/>
        <w:jc w:val="center"/>
        <w:rPr>
          <w:rFonts w:hint="eastAsia" w:ascii="宋体" w:hAnsi="宋体" w:eastAsia="宋体" w:cs="宋体"/>
          <w:color w:val="auto"/>
          <w:sz w:val="24"/>
          <w:highlight w:val="none"/>
        </w:rPr>
      </w:pPr>
    </w:p>
    <w:p w14:paraId="3776902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6EE0396F">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备注：</w:t>
      </w:r>
    </w:p>
    <w:p w14:paraId="7F7E500F">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报价为所投服务的单价组成。包括税金及其它。</w:t>
      </w:r>
    </w:p>
    <w:p w14:paraId="10D487EE">
      <w:pPr>
        <w:pStyle w:val="18"/>
        <w:rPr>
          <w:rFonts w:hint="eastAsia" w:ascii="宋体" w:hAnsi="宋体" w:eastAsia="宋体" w:cs="宋体"/>
          <w:color w:val="auto"/>
          <w:highlight w:val="none"/>
        </w:rPr>
      </w:pPr>
    </w:p>
    <w:p w14:paraId="1313369A">
      <w:pPr>
        <w:pStyle w:val="18"/>
        <w:rPr>
          <w:rFonts w:hint="eastAsia" w:ascii="宋体" w:hAnsi="宋体" w:eastAsia="宋体" w:cs="宋体"/>
          <w:color w:val="auto"/>
          <w:highlight w:val="none"/>
        </w:rPr>
      </w:pPr>
    </w:p>
    <w:p w14:paraId="5657123A">
      <w:pPr>
        <w:pStyle w:val="18"/>
        <w:rPr>
          <w:rFonts w:hint="eastAsia" w:ascii="宋体" w:hAnsi="宋体" w:eastAsia="宋体" w:cs="宋体"/>
          <w:color w:val="auto"/>
          <w:highlight w:val="none"/>
        </w:rPr>
      </w:pPr>
    </w:p>
    <w:p w14:paraId="1CB05037">
      <w:pPr>
        <w:pStyle w:val="18"/>
        <w:rPr>
          <w:rFonts w:hint="eastAsia" w:ascii="宋体" w:hAnsi="宋体" w:eastAsia="宋体" w:cs="宋体"/>
          <w:color w:val="auto"/>
          <w:highlight w:val="none"/>
        </w:rPr>
      </w:pPr>
    </w:p>
    <w:p w14:paraId="19A8C417">
      <w:pPr>
        <w:pStyle w:val="18"/>
        <w:rPr>
          <w:rFonts w:hint="eastAsia" w:ascii="宋体" w:hAnsi="宋体" w:eastAsia="宋体" w:cs="宋体"/>
          <w:color w:val="auto"/>
          <w:highlight w:val="none"/>
        </w:rPr>
      </w:pPr>
    </w:p>
    <w:p w14:paraId="21EB2D9B">
      <w:pPr>
        <w:pStyle w:val="18"/>
        <w:rPr>
          <w:rFonts w:hint="eastAsia" w:ascii="宋体" w:hAnsi="宋体" w:eastAsia="宋体" w:cs="宋体"/>
          <w:color w:val="auto"/>
          <w:highlight w:val="none"/>
        </w:rPr>
      </w:pPr>
    </w:p>
    <w:p w14:paraId="0CAD723D">
      <w:pPr>
        <w:pStyle w:val="18"/>
        <w:rPr>
          <w:rFonts w:hint="eastAsia" w:ascii="宋体" w:hAnsi="宋体" w:eastAsia="宋体" w:cs="宋体"/>
          <w:color w:val="auto"/>
          <w:highlight w:val="none"/>
        </w:rPr>
      </w:pPr>
    </w:p>
    <w:p w14:paraId="29E1A326">
      <w:pPr>
        <w:pStyle w:val="6"/>
        <w:rPr>
          <w:rFonts w:hint="eastAsia" w:ascii="宋体" w:hAnsi="宋体" w:eastAsia="宋体" w:cs="宋体"/>
          <w:color w:val="auto"/>
          <w:sz w:val="28"/>
          <w:highlight w:val="none"/>
        </w:rPr>
      </w:pPr>
      <w:bookmarkStart w:id="180" w:name="_Toc30168"/>
      <w:bookmarkStart w:id="181" w:name="_Toc40975453"/>
      <w:bookmarkStart w:id="182" w:name="_Toc22823"/>
      <w:bookmarkStart w:id="183" w:name="_Toc3380"/>
      <w:r>
        <w:rPr>
          <w:rFonts w:hint="eastAsia" w:ascii="宋体" w:hAnsi="宋体" w:eastAsia="宋体" w:cs="宋体"/>
          <w:color w:val="auto"/>
          <w:sz w:val="28"/>
          <w:highlight w:val="none"/>
        </w:rPr>
        <w:t>五．投标响应表</w:t>
      </w:r>
      <w:bookmarkEnd w:id="178"/>
      <w:bookmarkEnd w:id="179"/>
      <w:bookmarkEnd w:id="180"/>
      <w:bookmarkEnd w:id="181"/>
      <w:bookmarkEnd w:id="182"/>
      <w:bookmarkEnd w:id="183"/>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212C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150CFC01">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按招标文件规定填写</w:t>
            </w:r>
          </w:p>
        </w:tc>
        <w:tc>
          <w:tcPr>
            <w:tcW w:w="3534" w:type="dxa"/>
            <w:gridSpan w:val="2"/>
            <w:noWrap w:val="0"/>
            <w:vAlign w:val="center"/>
          </w:tcPr>
          <w:p w14:paraId="41EDF472">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按投标人所投内容填写</w:t>
            </w:r>
          </w:p>
        </w:tc>
      </w:tr>
      <w:tr w14:paraId="52D1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5A9FACA1">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第一部分：技术部分响应</w:t>
            </w:r>
          </w:p>
        </w:tc>
      </w:tr>
      <w:tr w14:paraId="4C38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42EAA355">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序号</w:t>
            </w:r>
          </w:p>
        </w:tc>
        <w:tc>
          <w:tcPr>
            <w:tcW w:w="1470" w:type="dxa"/>
            <w:noWrap w:val="0"/>
            <w:vAlign w:val="center"/>
          </w:tcPr>
          <w:p w14:paraId="567A5BA5">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品名</w:t>
            </w:r>
          </w:p>
        </w:tc>
        <w:tc>
          <w:tcPr>
            <w:tcW w:w="2520" w:type="dxa"/>
            <w:noWrap w:val="0"/>
            <w:vAlign w:val="center"/>
          </w:tcPr>
          <w:p w14:paraId="5881491C">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招标文件要求</w:t>
            </w:r>
          </w:p>
        </w:tc>
        <w:tc>
          <w:tcPr>
            <w:tcW w:w="2310" w:type="dxa"/>
            <w:noWrap w:val="0"/>
            <w:vAlign w:val="center"/>
          </w:tcPr>
          <w:p w14:paraId="1E7B9238">
            <w:pPr>
              <w:pStyle w:val="13"/>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投标响应</w:t>
            </w:r>
          </w:p>
          <w:p w14:paraId="1A4DDFED">
            <w:pPr>
              <w:pStyle w:val="13"/>
              <w:rPr>
                <w:rFonts w:hint="eastAsia" w:ascii="宋体" w:hAnsi="宋体" w:eastAsia="宋体" w:cs="宋体"/>
                <w:b/>
                <w:color w:val="auto"/>
                <w:sz w:val="24"/>
                <w:highlight w:val="none"/>
                <w:lang w:val="en-US" w:eastAsia="zh-CN"/>
              </w:rPr>
            </w:pPr>
          </w:p>
        </w:tc>
        <w:tc>
          <w:tcPr>
            <w:tcW w:w="1224" w:type="dxa"/>
            <w:noWrap w:val="0"/>
            <w:vAlign w:val="center"/>
          </w:tcPr>
          <w:p w14:paraId="42436F3A">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偏离说明</w:t>
            </w:r>
          </w:p>
        </w:tc>
      </w:tr>
      <w:tr w14:paraId="1B1D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C5B06A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70" w:type="dxa"/>
            <w:noWrap w:val="0"/>
            <w:vAlign w:val="top"/>
          </w:tcPr>
          <w:p w14:paraId="24F58C43">
            <w:pPr>
              <w:rPr>
                <w:rFonts w:hint="eastAsia" w:ascii="宋体" w:hAnsi="宋体" w:eastAsia="宋体" w:cs="宋体"/>
                <w:color w:val="auto"/>
                <w:sz w:val="24"/>
                <w:highlight w:val="none"/>
              </w:rPr>
            </w:pPr>
          </w:p>
        </w:tc>
        <w:tc>
          <w:tcPr>
            <w:tcW w:w="2520" w:type="dxa"/>
            <w:noWrap w:val="0"/>
            <w:vAlign w:val="top"/>
          </w:tcPr>
          <w:p w14:paraId="3CA559CD">
            <w:pPr>
              <w:rPr>
                <w:rFonts w:hint="eastAsia" w:ascii="宋体" w:hAnsi="宋体" w:eastAsia="宋体" w:cs="宋体"/>
                <w:color w:val="auto"/>
                <w:sz w:val="24"/>
                <w:highlight w:val="none"/>
              </w:rPr>
            </w:pPr>
          </w:p>
        </w:tc>
        <w:tc>
          <w:tcPr>
            <w:tcW w:w="2310" w:type="dxa"/>
            <w:noWrap w:val="0"/>
            <w:vAlign w:val="top"/>
          </w:tcPr>
          <w:p w14:paraId="152D8A07">
            <w:pPr>
              <w:rPr>
                <w:rFonts w:hint="eastAsia" w:ascii="宋体" w:hAnsi="宋体" w:eastAsia="宋体" w:cs="宋体"/>
                <w:color w:val="auto"/>
                <w:sz w:val="24"/>
                <w:highlight w:val="none"/>
              </w:rPr>
            </w:pPr>
          </w:p>
        </w:tc>
        <w:tc>
          <w:tcPr>
            <w:tcW w:w="1224" w:type="dxa"/>
            <w:noWrap w:val="0"/>
            <w:vAlign w:val="top"/>
          </w:tcPr>
          <w:p w14:paraId="324E6D82">
            <w:pPr>
              <w:rPr>
                <w:rFonts w:hint="eastAsia" w:ascii="宋体" w:hAnsi="宋体" w:eastAsia="宋体" w:cs="宋体"/>
                <w:color w:val="auto"/>
                <w:sz w:val="24"/>
                <w:highlight w:val="none"/>
              </w:rPr>
            </w:pPr>
          </w:p>
        </w:tc>
      </w:tr>
      <w:tr w14:paraId="6752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C164EC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70" w:type="dxa"/>
            <w:noWrap w:val="0"/>
            <w:vAlign w:val="top"/>
          </w:tcPr>
          <w:p w14:paraId="056AEE21">
            <w:pPr>
              <w:rPr>
                <w:rFonts w:hint="eastAsia" w:ascii="宋体" w:hAnsi="宋体" w:eastAsia="宋体" w:cs="宋体"/>
                <w:color w:val="auto"/>
                <w:sz w:val="24"/>
                <w:highlight w:val="none"/>
              </w:rPr>
            </w:pPr>
          </w:p>
        </w:tc>
        <w:tc>
          <w:tcPr>
            <w:tcW w:w="2520" w:type="dxa"/>
            <w:noWrap w:val="0"/>
            <w:vAlign w:val="top"/>
          </w:tcPr>
          <w:p w14:paraId="7413ED0F">
            <w:pPr>
              <w:rPr>
                <w:rFonts w:hint="eastAsia" w:ascii="宋体" w:hAnsi="宋体" w:eastAsia="宋体" w:cs="宋体"/>
                <w:color w:val="auto"/>
                <w:sz w:val="24"/>
                <w:highlight w:val="none"/>
              </w:rPr>
            </w:pPr>
          </w:p>
        </w:tc>
        <w:tc>
          <w:tcPr>
            <w:tcW w:w="2310" w:type="dxa"/>
            <w:noWrap w:val="0"/>
            <w:vAlign w:val="top"/>
          </w:tcPr>
          <w:p w14:paraId="3D33E4FE">
            <w:pPr>
              <w:rPr>
                <w:rFonts w:hint="eastAsia" w:ascii="宋体" w:hAnsi="宋体" w:eastAsia="宋体" w:cs="宋体"/>
                <w:color w:val="auto"/>
                <w:sz w:val="24"/>
                <w:highlight w:val="none"/>
              </w:rPr>
            </w:pPr>
          </w:p>
        </w:tc>
        <w:tc>
          <w:tcPr>
            <w:tcW w:w="1224" w:type="dxa"/>
            <w:noWrap w:val="0"/>
            <w:vAlign w:val="top"/>
          </w:tcPr>
          <w:p w14:paraId="222D52DB">
            <w:pPr>
              <w:rPr>
                <w:rFonts w:hint="eastAsia" w:ascii="宋体" w:hAnsi="宋体" w:eastAsia="宋体" w:cs="宋体"/>
                <w:color w:val="auto"/>
                <w:sz w:val="24"/>
                <w:highlight w:val="none"/>
              </w:rPr>
            </w:pPr>
          </w:p>
        </w:tc>
      </w:tr>
      <w:tr w14:paraId="32F8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ACD4E5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70" w:type="dxa"/>
            <w:noWrap w:val="0"/>
            <w:vAlign w:val="top"/>
          </w:tcPr>
          <w:p w14:paraId="565E6702">
            <w:pPr>
              <w:rPr>
                <w:rFonts w:hint="eastAsia" w:ascii="宋体" w:hAnsi="宋体" w:eastAsia="宋体" w:cs="宋体"/>
                <w:color w:val="auto"/>
                <w:sz w:val="24"/>
                <w:highlight w:val="none"/>
              </w:rPr>
            </w:pPr>
          </w:p>
        </w:tc>
        <w:tc>
          <w:tcPr>
            <w:tcW w:w="2520" w:type="dxa"/>
            <w:noWrap w:val="0"/>
            <w:vAlign w:val="top"/>
          </w:tcPr>
          <w:p w14:paraId="1E2446C3">
            <w:pPr>
              <w:rPr>
                <w:rFonts w:hint="eastAsia" w:ascii="宋体" w:hAnsi="宋体" w:eastAsia="宋体" w:cs="宋体"/>
                <w:color w:val="auto"/>
                <w:sz w:val="24"/>
                <w:highlight w:val="none"/>
              </w:rPr>
            </w:pPr>
          </w:p>
        </w:tc>
        <w:tc>
          <w:tcPr>
            <w:tcW w:w="2310" w:type="dxa"/>
            <w:noWrap w:val="0"/>
            <w:vAlign w:val="top"/>
          </w:tcPr>
          <w:p w14:paraId="3C858E56">
            <w:pPr>
              <w:pStyle w:val="32"/>
              <w:rPr>
                <w:rFonts w:hint="eastAsia" w:ascii="宋体" w:hAnsi="宋体" w:eastAsia="宋体" w:cs="宋体"/>
                <w:color w:val="auto"/>
                <w:highlight w:val="none"/>
              </w:rPr>
            </w:pPr>
          </w:p>
        </w:tc>
        <w:tc>
          <w:tcPr>
            <w:tcW w:w="1224" w:type="dxa"/>
            <w:noWrap w:val="0"/>
            <w:vAlign w:val="top"/>
          </w:tcPr>
          <w:p w14:paraId="79AB7073">
            <w:pPr>
              <w:rPr>
                <w:rFonts w:hint="eastAsia" w:ascii="宋体" w:hAnsi="宋体" w:eastAsia="宋体" w:cs="宋体"/>
                <w:color w:val="auto"/>
                <w:sz w:val="24"/>
                <w:highlight w:val="none"/>
              </w:rPr>
            </w:pPr>
          </w:p>
        </w:tc>
      </w:tr>
      <w:tr w14:paraId="68CD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13A97E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470" w:type="dxa"/>
            <w:noWrap w:val="0"/>
            <w:vAlign w:val="top"/>
          </w:tcPr>
          <w:p w14:paraId="68253687">
            <w:pPr>
              <w:rPr>
                <w:rFonts w:hint="eastAsia" w:ascii="宋体" w:hAnsi="宋体" w:eastAsia="宋体" w:cs="宋体"/>
                <w:color w:val="auto"/>
                <w:sz w:val="24"/>
                <w:highlight w:val="none"/>
              </w:rPr>
            </w:pPr>
          </w:p>
        </w:tc>
        <w:tc>
          <w:tcPr>
            <w:tcW w:w="2520" w:type="dxa"/>
            <w:noWrap w:val="0"/>
            <w:vAlign w:val="top"/>
          </w:tcPr>
          <w:p w14:paraId="5B1FEFAF">
            <w:pPr>
              <w:rPr>
                <w:rFonts w:hint="eastAsia" w:ascii="宋体" w:hAnsi="宋体" w:eastAsia="宋体" w:cs="宋体"/>
                <w:color w:val="auto"/>
                <w:sz w:val="24"/>
                <w:highlight w:val="none"/>
              </w:rPr>
            </w:pPr>
          </w:p>
        </w:tc>
        <w:tc>
          <w:tcPr>
            <w:tcW w:w="2310" w:type="dxa"/>
            <w:noWrap w:val="0"/>
            <w:vAlign w:val="top"/>
          </w:tcPr>
          <w:p w14:paraId="54289F04">
            <w:pPr>
              <w:rPr>
                <w:rFonts w:hint="eastAsia" w:ascii="宋体" w:hAnsi="宋体" w:eastAsia="宋体" w:cs="宋体"/>
                <w:color w:val="auto"/>
                <w:sz w:val="24"/>
                <w:highlight w:val="none"/>
              </w:rPr>
            </w:pPr>
          </w:p>
        </w:tc>
        <w:tc>
          <w:tcPr>
            <w:tcW w:w="1224" w:type="dxa"/>
            <w:noWrap w:val="0"/>
            <w:vAlign w:val="top"/>
          </w:tcPr>
          <w:p w14:paraId="567ADA81">
            <w:pPr>
              <w:rPr>
                <w:rFonts w:hint="eastAsia" w:ascii="宋体" w:hAnsi="宋体" w:eastAsia="宋体" w:cs="宋体"/>
                <w:color w:val="auto"/>
                <w:sz w:val="24"/>
                <w:highlight w:val="none"/>
              </w:rPr>
            </w:pPr>
          </w:p>
        </w:tc>
      </w:tr>
      <w:tr w14:paraId="4166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66024D0E">
            <w:pPr>
              <w:pStyle w:val="13"/>
              <w:jc w:val="center"/>
              <w:rPr>
                <w:rFonts w:hint="eastAsia" w:ascii="宋体" w:hAnsi="宋体" w:eastAsia="宋体" w:cs="宋体"/>
                <w:color w:val="auto"/>
                <w:sz w:val="24"/>
                <w:highlight w:val="none"/>
                <w:lang w:val="en-US" w:eastAsia="zh-CN"/>
              </w:rPr>
            </w:pPr>
            <w:r>
              <w:rPr>
                <w:rFonts w:hint="eastAsia" w:ascii="宋体" w:hAnsi="宋体" w:eastAsia="宋体" w:cs="宋体"/>
                <w:b/>
                <w:color w:val="auto"/>
                <w:sz w:val="24"/>
                <w:highlight w:val="none"/>
                <w:lang w:val="en-US" w:eastAsia="zh-CN"/>
              </w:rPr>
              <w:t>第二部分：资信及报价部分响应</w:t>
            </w:r>
          </w:p>
        </w:tc>
      </w:tr>
      <w:tr w14:paraId="4B21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6FF3CD8">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序号</w:t>
            </w:r>
          </w:p>
        </w:tc>
        <w:tc>
          <w:tcPr>
            <w:tcW w:w="1470" w:type="dxa"/>
            <w:noWrap w:val="0"/>
            <w:vAlign w:val="center"/>
          </w:tcPr>
          <w:p w14:paraId="4E149D3E">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内容</w:t>
            </w:r>
          </w:p>
        </w:tc>
        <w:tc>
          <w:tcPr>
            <w:tcW w:w="2520" w:type="dxa"/>
            <w:noWrap w:val="0"/>
            <w:vAlign w:val="center"/>
          </w:tcPr>
          <w:p w14:paraId="2CC65C54">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招标要求</w:t>
            </w:r>
          </w:p>
        </w:tc>
        <w:tc>
          <w:tcPr>
            <w:tcW w:w="2310" w:type="dxa"/>
            <w:noWrap w:val="0"/>
            <w:vAlign w:val="center"/>
          </w:tcPr>
          <w:p w14:paraId="7A7DA157">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投标承诺</w:t>
            </w:r>
          </w:p>
        </w:tc>
        <w:tc>
          <w:tcPr>
            <w:tcW w:w="1224" w:type="dxa"/>
            <w:noWrap w:val="0"/>
            <w:vAlign w:val="center"/>
          </w:tcPr>
          <w:p w14:paraId="2808FE16">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偏离说明</w:t>
            </w:r>
          </w:p>
        </w:tc>
      </w:tr>
      <w:tr w14:paraId="259F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BE4B18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70" w:type="dxa"/>
            <w:noWrap w:val="0"/>
            <w:vAlign w:val="center"/>
          </w:tcPr>
          <w:p w14:paraId="1166891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供货期</w:t>
            </w:r>
          </w:p>
        </w:tc>
        <w:tc>
          <w:tcPr>
            <w:tcW w:w="2520" w:type="dxa"/>
            <w:noWrap w:val="0"/>
            <w:vAlign w:val="top"/>
          </w:tcPr>
          <w:p w14:paraId="49CC755A">
            <w:pPr>
              <w:rPr>
                <w:rFonts w:hint="eastAsia" w:ascii="宋体" w:hAnsi="宋体" w:eastAsia="宋体" w:cs="宋体"/>
                <w:color w:val="auto"/>
                <w:sz w:val="24"/>
                <w:highlight w:val="none"/>
              </w:rPr>
            </w:pPr>
          </w:p>
        </w:tc>
        <w:tc>
          <w:tcPr>
            <w:tcW w:w="2310" w:type="dxa"/>
            <w:noWrap w:val="0"/>
            <w:vAlign w:val="top"/>
          </w:tcPr>
          <w:p w14:paraId="5041C466">
            <w:pPr>
              <w:rPr>
                <w:rFonts w:hint="eastAsia" w:ascii="宋体" w:hAnsi="宋体" w:eastAsia="宋体" w:cs="宋体"/>
                <w:color w:val="auto"/>
                <w:sz w:val="24"/>
                <w:highlight w:val="none"/>
              </w:rPr>
            </w:pPr>
          </w:p>
        </w:tc>
        <w:tc>
          <w:tcPr>
            <w:tcW w:w="1224" w:type="dxa"/>
            <w:noWrap w:val="0"/>
            <w:vAlign w:val="top"/>
          </w:tcPr>
          <w:p w14:paraId="35D54A4A">
            <w:pPr>
              <w:rPr>
                <w:rFonts w:hint="eastAsia" w:ascii="宋体" w:hAnsi="宋体" w:eastAsia="宋体" w:cs="宋体"/>
                <w:color w:val="auto"/>
                <w:sz w:val="24"/>
                <w:highlight w:val="none"/>
              </w:rPr>
            </w:pPr>
          </w:p>
        </w:tc>
      </w:tr>
      <w:tr w14:paraId="599E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62AFF1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70" w:type="dxa"/>
            <w:noWrap w:val="0"/>
            <w:vAlign w:val="center"/>
          </w:tcPr>
          <w:p w14:paraId="3D3F6A3F">
            <w:pPr>
              <w:rPr>
                <w:rFonts w:hint="eastAsia" w:ascii="宋体" w:hAnsi="宋体" w:eastAsia="宋体" w:cs="宋体"/>
                <w:color w:val="auto"/>
                <w:sz w:val="24"/>
                <w:highlight w:val="none"/>
              </w:rPr>
            </w:pPr>
            <w:r>
              <w:rPr>
                <w:rFonts w:hint="eastAsia" w:ascii="宋体" w:hAnsi="宋体" w:eastAsia="宋体" w:cs="宋体"/>
                <w:color w:val="auto"/>
                <w:sz w:val="24"/>
                <w:highlight w:val="none"/>
              </w:rPr>
              <w:t>免费质保期</w:t>
            </w:r>
          </w:p>
        </w:tc>
        <w:tc>
          <w:tcPr>
            <w:tcW w:w="2520" w:type="dxa"/>
            <w:noWrap w:val="0"/>
            <w:vAlign w:val="top"/>
          </w:tcPr>
          <w:p w14:paraId="11E4543C">
            <w:pPr>
              <w:rPr>
                <w:rFonts w:hint="eastAsia" w:ascii="宋体" w:hAnsi="宋体" w:eastAsia="宋体" w:cs="宋体"/>
                <w:color w:val="auto"/>
                <w:sz w:val="24"/>
                <w:highlight w:val="none"/>
              </w:rPr>
            </w:pPr>
          </w:p>
        </w:tc>
        <w:tc>
          <w:tcPr>
            <w:tcW w:w="2310" w:type="dxa"/>
            <w:noWrap w:val="0"/>
            <w:vAlign w:val="top"/>
          </w:tcPr>
          <w:p w14:paraId="08CFB8B7">
            <w:pPr>
              <w:rPr>
                <w:rFonts w:hint="eastAsia" w:ascii="宋体" w:hAnsi="宋体" w:eastAsia="宋体" w:cs="宋体"/>
                <w:color w:val="auto"/>
                <w:sz w:val="24"/>
                <w:highlight w:val="none"/>
              </w:rPr>
            </w:pPr>
          </w:p>
        </w:tc>
        <w:tc>
          <w:tcPr>
            <w:tcW w:w="1224" w:type="dxa"/>
            <w:noWrap w:val="0"/>
            <w:vAlign w:val="top"/>
          </w:tcPr>
          <w:p w14:paraId="77B89C8B">
            <w:pPr>
              <w:rPr>
                <w:rFonts w:hint="eastAsia" w:ascii="宋体" w:hAnsi="宋体" w:eastAsia="宋体" w:cs="宋体"/>
                <w:color w:val="auto"/>
                <w:sz w:val="24"/>
                <w:highlight w:val="none"/>
              </w:rPr>
            </w:pPr>
          </w:p>
        </w:tc>
      </w:tr>
      <w:tr w14:paraId="07AF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BB55D8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70" w:type="dxa"/>
            <w:noWrap w:val="0"/>
            <w:vAlign w:val="center"/>
          </w:tcPr>
          <w:p w14:paraId="143F955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付款响应</w:t>
            </w:r>
          </w:p>
        </w:tc>
        <w:tc>
          <w:tcPr>
            <w:tcW w:w="2520" w:type="dxa"/>
            <w:noWrap w:val="0"/>
            <w:vAlign w:val="top"/>
          </w:tcPr>
          <w:p w14:paraId="033E282A">
            <w:pPr>
              <w:rPr>
                <w:rFonts w:hint="eastAsia" w:ascii="宋体" w:hAnsi="宋体" w:eastAsia="宋体" w:cs="宋体"/>
                <w:color w:val="auto"/>
                <w:sz w:val="24"/>
                <w:highlight w:val="none"/>
              </w:rPr>
            </w:pPr>
          </w:p>
        </w:tc>
        <w:tc>
          <w:tcPr>
            <w:tcW w:w="2310" w:type="dxa"/>
            <w:noWrap w:val="0"/>
            <w:vAlign w:val="top"/>
          </w:tcPr>
          <w:p w14:paraId="7825CF10">
            <w:pPr>
              <w:rPr>
                <w:rFonts w:hint="eastAsia" w:ascii="宋体" w:hAnsi="宋体" w:eastAsia="宋体" w:cs="宋体"/>
                <w:color w:val="auto"/>
                <w:sz w:val="24"/>
                <w:highlight w:val="none"/>
              </w:rPr>
            </w:pPr>
          </w:p>
        </w:tc>
        <w:tc>
          <w:tcPr>
            <w:tcW w:w="1224" w:type="dxa"/>
            <w:noWrap w:val="0"/>
            <w:vAlign w:val="top"/>
          </w:tcPr>
          <w:p w14:paraId="0E152E92">
            <w:pPr>
              <w:rPr>
                <w:rFonts w:hint="eastAsia" w:ascii="宋体" w:hAnsi="宋体" w:eastAsia="宋体" w:cs="宋体"/>
                <w:color w:val="auto"/>
                <w:sz w:val="24"/>
                <w:highlight w:val="none"/>
              </w:rPr>
            </w:pPr>
          </w:p>
        </w:tc>
      </w:tr>
      <w:tr w14:paraId="396E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F3861B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470" w:type="dxa"/>
            <w:noWrap w:val="0"/>
            <w:vAlign w:val="center"/>
          </w:tcPr>
          <w:p w14:paraId="2953F3D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业绩</w:t>
            </w:r>
          </w:p>
        </w:tc>
        <w:tc>
          <w:tcPr>
            <w:tcW w:w="2520" w:type="dxa"/>
            <w:noWrap w:val="0"/>
            <w:vAlign w:val="top"/>
          </w:tcPr>
          <w:p w14:paraId="297F94E7">
            <w:pPr>
              <w:rPr>
                <w:rFonts w:hint="eastAsia" w:ascii="宋体" w:hAnsi="宋体" w:eastAsia="宋体" w:cs="宋体"/>
                <w:color w:val="auto"/>
                <w:sz w:val="24"/>
                <w:highlight w:val="none"/>
              </w:rPr>
            </w:pPr>
          </w:p>
        </w:tc>
        <w:tc>
          <w:tcPr>
            <w:tcW w:w="2310" w:type="dxa"/>
            <w:noWrap w:val="0"/>
            <w:vAlign w:val="top"/>
          </w:tcPr>
          <w:p w14:paraId="5F6C2801">
            <w:pPr>
              <w:rPr>
                <w:rFonts w:hint="eastAsia" w:ascii="宋体" w:hAnsi="宋体" w:eastAsia="宋体" w:cs="宋体"/>
                <w:color w:val="auto"/>
                <w:sz w:val="24"/>
                <w:highlight w:val="none"/>
              </w:rPr>
            </w:pPr>
          </w:p>
        </w:tc>
        <w:tc>
          <w:tcPr>
            <w:tcW w:w="1224" w:type="dxa"/>
            <w:noWrap w:val="0"/>
            <w:vAlign w:val="top"/>
          </w:tcPr>
          <w:p w14:paraId="469B8C44">
            <w:pPr>
              <w:rPr>
                <w:rFonts w:hint="eastAsia" w:ascii="宋体" w:hAnsi="宋体" w:eastAsia="宋体" w:cs="宋体"/>
                <w:color w:val="auto"/>
                <w:sz w:val="24"/>
                <w:highlight w:val="none"/>
              </w:rPr>
            </w:pPr>
          </w:p>
        </w:tc>
      </w:tr>
      <w:tr w14:paraId="7F49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A53D8F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1470" w:type="dxa"/>
            <w:noWrap w:val="0"/>
            <w:vAlign w:val="center"/>
          </w:tcPr>
          <w:p w14:paraId="6568973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w:t>
            </w:r>
          </w:p>
        </w:tc>
        <w:tc>
          <w:tcPr>
            <w:tcW w:w="2520" w:type="dxa"/>
            <w:noWrap w:val="0"/>
            <w:vAlign w:val="top"/>
          </w:tcPr>
          <w:p w14:paraId="68553F28">
            <w:pPr>
              <w:rPr>
                <w:rFonts w:hint="eastAsia" w:ascii="宋体" w:hAnsi="宋体" w:eastAsia="宋体" w:cs="宋体"/>
                <w:color w:val="auto"/>
                <w:sz w:val="24"/>
                <w:highlight w:val="none"/>
              </w:rPr>
            </w:pPr>
          </w:p>
        </w:tc>
        <w:tc>
          <w:tcPr>
            <w:tcW w:w="2310" w:type="dxa"/>
            <w:noWrap w:val="0"/>
            <w:vAlign w:val="top"/>
          </w:tcPr>
          <w:p w14:paraId="6A314C48">
            <w:pPr>
              <w:rPr>
                <w:rFonts w:hint="eastAsia" w:ascii="宋体" w:hAnsi="宋体" w:eastAsia="宋体" w:cs="宋体"/>
                <w:color w:val="auto"/>
                <w:sz w:val="24"/>
                <w:highlight w:val="none"/>
              </w:rPr>
            </w:pPr>
          </w:p>
        </w:tc>
        <w:tc>
          <w:tcPr>
            <w:tcW w:w="1224" w:type="dxa"/>
            <w:noWrap w:val="0"/>
            <w:vAlign w:val="top"/>
          </w:tcPr>
          <w:p w14:paraId="60562380">
            <w:pPr>
              <w:rPr>
                <w:rFonts w:hint="eastAsia" w:ascii="宋体" w:hAnsi="宋体" w:eastAsia="宋体" w:cs="宋体"/>
                <w:color w:val="auto"/>
                <w:sz w:val="24"/>
                <w:highlight w:val="none"/>
              </w:rPr>
            </w:pPr>
          </w:p>
        </w:tc>
      </w:tr>
    </w:tbl>
    <w:p w14:paraId="72587189">
      <w:pPr>
        <w:spacing w:line="38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58B5F8A7">
      <w:pPr>
        <w:spacing w:line="380" w:lineRule="exact"/>
        <w:ind w:right="640" w:firstLine="1560" w:firstLineChars="650"/>
        <w:jc w:val="left"/>
        <w:rPr>
          <w:rFonts w:hint="eastAsia" w:ascii="宋体" w:hAnsi="宋体" w:eastAsia="宋体" w:cs="宋体"/>
          <w:color w:val="auto"/>
          <w:sz w:val="24"/>
          <w:highlight w:val="none"/>
        </w:rPr>
      </w:pPr>
    </w:p>
    <w:p w14:paraId="05BCE23E">
      <w:pPr>
        <w:spacing w:line="380" w:lineRule="exact"/>
        <w:ind w:right="64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2D6B6856">
      <w:pPr>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28B448AF">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备注：</w:t>
      </w:r>
    </w:p>
    <w:p w14:paraId="1331B42B">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1、投标人必须逐项对应描述投标服务要求，如不进行描述，仅在响应栏填“响应”或未填写的，将可能导致投标无效；</w:t>
      </w:r>
    </w:p>
    <w:p w14:paraId="1C312131">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2、投标人所投服务如与招标文件要求不一致，则须在上表偏离说明中详细注明。</w:t>
      </w:r>
    </w:p>
    <w:p w14:paraId="6B4EC7E8">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3、响应部分可后附详细说明及技术资料，并应注明投标文件中对应的页码范围。</w:t>
      </w:r>
    </w:p>
    <w:p w14:paraId="0F607BBB">
      <w:pPr>
        <w:pStyle w:val="18"/>
        <w:rPr>
          <w:rFonts w:hint="eastAsia" w:ascii="宋体" w:hAnsi="宋体" w:eastAsia="宋体" w:cs="宋体"/>
          <w:color w:val="auto"/>
          <w:highlight w:val="none"/>
        </w:rPr>
      </w:pPr>
    </w:p>
    <w:p w14:paraId="40ECA46F">
      <w:pPr>
        <w:pStyle w:val="18"/>
        <w:rPr>
          <w:rFonts w:hint="eastAsia" w:ascii="宋体" w:hAnsi="宋体" w:eastAsia="宋体" w:cs="宋体"/>
          <w:color w:val="auto"/>
          <w:highlight w:val="none"/>
        </w:rPr>
      </w:pPr>
    </w:p>
    <w:p w14:paraId="66C3B6FB">
      <w:pPr>
        <w:pStyle w:val="18"/>
        <w:rPr>
          <w:rFonts w:hint="eastAsia" w:ascii="宋体" w:hAnsi="宋体" w:eastAsia="宋体" w:cs="宋体"/>
          <w:color w:val="auto"/>
          <w:highlight w:val="none"/>
        </w:rPr>
      </w:pPr>
    </w:p>
    <w:p w14:paraId="68ACACAD">
      <w:pPr>
        <w:pStyle w:val="18"/>
        <w:rPr>
          <w:rFonts w:hint="eastAsia" w:ascii="宋体" w:hAnsi="宋体" w:eastAsia="宋体" w:cs="宋体"/>
          <w:color w:val="auto"/>
          <w:highlight w:val="none"/>
          <w:lang w:eastAsia="zh-CN"/>
        </w:rPr>
      </w:pPr>
    </w:p>
    <w:p w14:paraId="7F432DDF">
      <w:pPr>
        <w:pStyle w:val="18"/>
        <w:rPr>
          <w:rFonts w:hint="eastAsia" w:ascii="宋体" w:hAnsi="宋体" w:eastAsia="宋体" w:cs="宋体"/>
          <w:color w:val="auto"/>
          <w:highlight w:val="none"/>
          <w:lang w:eastAsia="zh-CN"/>
        </w:rPr>
      </w:pPr>
    </w:p>
    <w:p w14:paraId="3F14EF6F">
      <w:pPr>
        <w:pStyle w:val="18"/>
        <w:rPr>
          <w:rFonts w:hint="eastAsia" w:ascii="宋体" w:hAnsi="宋体" w:eastAsia="宋体" w:cs="宋体"/>
          <w:color w:val="auto"/>
          <w:highlight w:val="none"/>
        </w:rPr>
      </w:pPr>
    </w:p>
    <w:p w14:paraId="549DFD7C">
      <w:pPr>
        <w:pStyle w:val="18"/>
        <w:rPr>
          <w:rFonts w:hint="eastAsia" w:ascii="宋体" w:hAnsi="宋体" w:eastAsia="宋体" w:cs="宋体"/>
          <w:color w:val="auto"/>
          <w:highlight w:val="none"/>
        </w:rPr>
      </w:pPr>
    </w:p>
    <w:p w14:paraId="483AEBEE">
      <w:pPr>
        <w:pStyle w:val="6"/>
        <w:rPr>
          <w:rFonts w:hint="eastAsia" w:ascii="宋体" w:hAnsi="宋体" w:eastAsia="宋体" w:cs="宋体"/>
          <w:color w:val="auto"/>
          <w:sz w:val="28"/>
          <w:szCs w:val="36"/>
          <w:highlight w:val="none"/>
        </w:rPr>
      </w:pPr>
      <w:bookmarkStart w:id="184" w:name="_Hlt509738950"/>
      <w:bookmarkEnd w:id="184"/>
      <w:bookmarkStart w:id="185" w:name="_Toc2238_WPSOffice_Level2"/>
      <w:bookmarkStart w:id="186" w:name="_Toc19673"/>
      <w:bookmarkStart w:id="187" w:name="_Toc28604"/>
      <w:bookmarkStart w:id="188" w:name="_Toc220232400"/>
      <w:bookmarkStart w:id="189" w:name="_Toc40975454"/>
      <w:bookmarkStart w:id="190" w:name="_Toc1906"/>
      <w:r>
        <w:rPr>
          <w:rFonts w:hint="eastAsia" w:ascii="宋体" w:hAnsi="宋体" w:eastAsia="宋体" w:cs="宋体"/>
          <w:color w:val="auto"/>
          <w:sz w:val="28"/>
          <w:highlight w:val="none"/>
        </w:rPr>
        <w:t>六．</w:t>
      </w:r>
      <w:r>
        <w:rPr>
          <w:rFonts w:hint="eastAsia" w:ascii="宋体" w:hAnsi="宋体" w:eastAsia="宋体" w:cs="宋体"/>
          <w:color w:val="auto"/>
          <w:sz w:val="28"/>
          <w:highlight w:val="none"/>
          <w:lang w:eastAsia="zh-CN"/>
        </w:rPr>
        <w:t>服务</w:t>
      </w:r>
      <w:r>
        <w:rPr>
          <w:rFonts w:hint="eastAsia" w:ascii="宋体" w:hAnsi="宋体" w:eastAsia="宋体" w:cs="宋体"/>
          <w:color w:val="auto"/>
          <w:sz w:val="28"/>
          <w:highlight w:val="none"/>
        </w:rPr>
        <w:t>质量承诺</w:t>
      </w:r>
      <w:bookmarkEnd w:id="185"/>
      <w:bookmarkEnd w:id="186"/>
      <w:bookmarkEnd w:id="187"/>
      <w:bookmarkEnd w:id="188"/>
      <w:bookmarkEnd w:id="189"/>
      <w:bookmarkEnd w:id="190"/>
    </w:p>
    <w:p w14:paraId="33FFB84C">
      <w:pPr>
        <w:spacing w:before="48" w:beforeLines="20" w:after="48" w:afterLines="2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w:t>
      </w:r>
    </w:p>
    <w:p w14:paraId="5E6DE928">
      <w:pPr>
        <w:spacing w:before="48" w:beforeLines="20" w:after="48" w:afterLines="20" w:line="360" w:lineRule="auto"/>
        <w:rPr>
          <w:rFonts w:hint="eastAsia" w:ascii="宋体" w:hAnsi="宋体" w:eastAsia="宋体" w:cs="宋体"/>
          <w:color w:val="auto"/>
          <w:sz w:val="28"/>
          <w:highlight w:val="none"/>
        </w:rPr>
      </w:pPr>
    </w:p>
    <w:p w14:paraId="05938886">
      <w:pPr>
        <w:pStyle w:val="18"/>
        <w:rPr>
          <w:rFonts w:hint="eastAsia" w:ascii="宋体" w:hAnsi="宋体" w:eastAsia="宋体" w:cs="宋体"/>
          <w:color w:val="auto"/>
          <w:highlight w:val="none"/>
        </w:rPr>
      </w:pPr>
    </w:p>
    <w:p w14:paraId="3332587D">
      <w:pPr>
        <w:pStyle w:val="18"/>
        <w:rPr>
          <w:rFonts w:hint="eastAsia" w:ascii="宋体" w:hAnsi="宋体" w:eastAsia="宋体" w:cs="宋体"/>
          <w:color w:val="auto"/>
          <w:highlight w:val="none"/>
        </w:rPr>
      </w:pPr>
    </w:p>
    <w:p w14:paraId="24AD6333">
      <w:pPr>
        <w:pStyle w:val="18"/>
        <w:rPr>
          <w:rFonts w:hint="eastAsia" w:ascii="宋体" w:hAnsi="宋体" w:eastAsia="宋体" w:cs="宋体"/>
          <w:color w:val="auto"/>
          <w:highlight w:val="none"/>
        </w:rPr>
      </w:pPr>
    </w:p>
    <w:p w14:paraId="0CDF664E">
      <w:pPr>
        <w:pStyle w:val="18"/>
        <w:rPr>
          <w:rFonts w:hint="eastAsia" w:ascii="宋体" w:hAnsi="宋体" w:eastAsia="宋体" w:cs="宋体"/>
          <w:color w:val="auto"/>
          <w:highlight w:val="none"/>
        </w:rPr>
      </w:pPr>
    </w:p>
    <w:p w14:paraId="13A6AC74">
      <w:pPr>
        <w:pStyle w:val="18"/>
        <w:rPr>
          <w:rFonts w:hint="eastAsia" w:ascii="宋体" w:hAnsi="宋体" w:eastAsia="宋体" w:cs="宋体"/>
          <w:color w:val="auto"/>
          <w:highlight w:val="none"/>
        </w:rPr>
      </w:pPr>
    </w:p>
    <w:p w14:paraId="6F44CB43">
      <w:pPr>
        <w:pStyle w:val="18"/>
        <w:rPr>
          <w:rFonts w:hint="eastAsia" w:ascii="宋体" w:hAnsi="宋体" w:eastAsia="宋体" w:cs="宋体"/>
          <w:color w:val="auto"/>
          <w:highlight w:val="none"/>
        </w:rPr>
      </w:pPr>
    </w:p>
    <w:p w14:paraId="3DA88A88">
      <w:pPr>
        <w:pStyle w:val="18"/>
        <w:rPr>
          <w:rFonts w:hint="eastAsia" w:ascii="宋体" w:hAnsi="宋体" w:eastAsia="宋体" w:cs="宋体"/>
          <w:color w:val="auto"/>
          <w:highlight w:val="none"/>
        </w:rPr>
      </w:pPr>
    </w:p>
    <w:p w14:paraId="35E5A317">
      <w:pPr>
        <w:pStyle w:val="18"/>
        <w:rPr>
          <w:rFonts w:hint="eastAsia" w:ascii="宋体" w:hAnsi="宋体" w:eastAsia="宋体" w:cs="宋体"/>
          <w:color w:val="auto"/>
          <w:highlight w:val="none"/>
        </w:rPr>
      </w:pPr>
    </w:p>
    <w:p w14:paraId="61D5D645">
      <w:pPr>
        <w:pStyle w:val="18"/>
        <w:rPr>
          <w:rFonts w:hint="eastAsia" w:ascii="宋体" w:hAnsi="宋体" w:eastAsia="宋体" w:cs="宋体"/>
          <w:color w:val="auto"/>
          <w:highlight w:val="none"/>
        </w:rPr>
      </w:pPr>
    </w:p>
    <w:p w14:paraId="2F84B25F">
      <w:pPr>
        <w:pStyle w:val="18"/>
        <w:rPr>
          <w:rFonts w:hint="eastAsia" w:ascii="宋体" w:hAnsi="宋体" w:eastAsia="宋体" w:cs="宋体"/>
          <w:color w:val="auto"/>
          <w:highlight w:val="none"/>
        </w:rPr>
      </w:pPr>
    </w:p>
    <w:p w14:paraId="2ECBDDB7">
      <w:pPr>
        <w:pStyle w:val="18"/>
        <w:rPr>
          <w:rFonts w:hint="eastAsia" w:ascii="宋体" w:hAnsi="宋体" w:eastAsia="宋体" w:cs="宋体"/>
          <w:color w:val="auto"/>
          <w:highlight w:val="none"/>
        </w:rPr>
      </w:pPr>
    </w:p>
    <w:p w14:paraId="0B4D8744">
      <w:pPr>
        <w:pStyle w:val="18"/>
        <w:rPr>
          <w:rFonts w:hint="eastAsia" w:ascii="宋体" w:hAnsi="宋体" w:eastAsia="宋体" w:cs="宋体"/>
          <w:color w:val="auto"/>
          <w:highlight w:val="none"/>
        </w:rPr>
      </w:pPr>
    </w:p>
    <w:p w14:paraId="3A0D7A02">
      <w:pPr>
        <w:pStyle w:val="18"/>
        <w:rPr>
          <w:rFonts w:hint="eastAsia" w:ascii="宋体" w:hAnsi="宋体" w:eastAsia="宋体" w:cs="宋体"/>
          <w:color w:val="auto"/>
          <w:highlight w:val="none"/>
        </w:rPr>
      </w:pPr>
    </w:p>
    <w:p w14:paraId="4AF71332">
      <w:pPr>
        <w:pStyle w:val="18"/>
        <w:rPr>
          <w:rFonts w:hint="eastAsia" w:ascii="宋体" w:hAnsi="宋体" w:eastAsia="宋体" w:cs="宋体"/>
          <w:color w:val="auto"/>
          <w:highlight w:val="none"/>
        </w:rPr>
      </w:pPr>
    </w:p>
    <w:p w14:paraId="7F78FA36">
      <w:pPr>
        <w:pStyle w:val="18"/>
        <w:rPr>
          <w:rFonts w:hint="eastAsia" w:ascii="宋体" w:hAnsi="宋体" w:eastAsia="宋体" w:cs="宋体"/>
          <w:color w:val="auto"/>
          <w:highlight w:val="none"/>
        </w:rPr>
      </w:pPr>
    </w:p>
    <w:p w14:paraId="2DBAD77A">
      <w:pPr>
        <w:pStyle w:val="18"/>
        <w:rPr>
          <w:rFonts w:hint="eastAsia" w:ascii="宋体" w:hAnsi="宋体" w:eastAsia="宋体" w:cs="宋体"/>
          <w:color w:val="auto"/>
          <w:highlight w:val="none"/>
        </w:rPr>
      </w:pPr>
    </w:p>
    <w:p w14:paraId="46139631">
      <w:pPr>
        <w:pStyle w:val="18"/>
        <w:rPr>
          <w:rFonts w:hint="eastAsia" w:ascii="宋体" w:hAnsi="宋体" w:eastAsia="宋体" w:cs="宋体"/>
          <w:color w:val="auto"/>
          <w:highlight w:val="none"/>
        </w:rPr>
      </w:pPr>
    </w:p>
    <w:p w14:paraId="6E7BFAEB">
      <w:pPr>
        <w:pStyle w:val="18"/>
        <w:rPr>
          <w:rFonts w:hint="eastAsia" w:ascii="宋体" w:hAnsi="宋体" w:eastAsia="宋体" w:cs="宋体"/>
          <w:color w:val="auto"/>
          <w:highlight w:val="none"/>
        </w:rPr>
      </w:pPr>
    </w:p>
    <w:p w14:paraId="2DC8C43F">
      <w:pPr>
        <w:pStyle w:val="18"/>
        <w:rPr>
          <w:rFonts w:hint="eastAsia" w:ascii="宋体" w:hAnsi="宋体" w:eastAsia="宋体" w:cs="宋体"/>
          <w:color w:val="auto"/>
          <w:highlight w:val="none"/>
        </w:rPr>
      </w:pPr>
    </w:p>
    <w:p w14:paraId="55C9F61E">
      <w:pPr>
        <w:pStyle w:val="6"/>
        <w:rPr>
          <w:rFonts w:hint="eastAsia" w:ascii="宋体" w:hAnsi="宋体" w:eastAsia="宋体" w:cs="宋体"/>
          <w:color w:val="auto"/>
          <w:sz w:val="28"/>
          <w:szCs w:val="36"/>
          <w:highlight w:val="none"/>
        </w:rPr>
      </w:pPr>
      <w:bookmarkStart w:id="191" w:name="_Toc8310"/>
      <w:bookmarkStart w:id="192" w:name="_Toc25061"/>
      <w:bookmarkStart w:id="193" w:name="_Toc235"/>
      <w:bookmarkStart w:id="194" w:name="_Toc516969105"/>
      <w:bookmarkStart w:id="195" w:name="_Toc5312_WPSOffice_Level2"/>
      <w:bookmarkStart w:id="196" w:name="_Toc40975456"/>
      <w:bookmarkStart w:id="197" w:name="_Toc220232402"/>
      <w:r>
        <w:rPr>
          <w:rFonts w:hint="eastAsia" w:ascii="宋体" w:hAnsi="宋体" w:eastAsia="宋体" w:cs="宋体"/>
          <w:color w:val="auto"/>
          <w:sz w:val="28"/>
          <w:highlight w:val="none"/>
          <w:lang w:eastAsia="zh-CN"/>
        </w:rPr>
        <w:br w:type="page"/>
      </w:r>
      <w:r>
        <w:rPr>
          <w:rFonts w:hint="eastAsia" w:ascii="宋体" w:hAnsi="宋体" w:eastAsia="宋体" w:cs="宋体"/>
          <w:color w:val="auto"/>
          <w:sz w:val="28"/>
          <w:highlight w:val="none"/>
          <w:lang w:eastAsia="zh-CN"/>
        </w:rPr>
        <w:t>七</w:t>
      </w:r>
      <w:r>
        <w:rPr>
          <w:rFonts w:hint="eastAsia" w:ascii="宋体" w:hAnsi="宋体" w:eastAsia="宋体" w:cs="宋体"/>
          <w:color w:val="auto"/>
          <w:sz w:val="28"/>
          <w:highlight w:val="none"/>
        </w:rPr>
        <w:t>．有关证明文件</w:t>
      </w:r>
      <w:bookmarkEnd w:id="191"/>
      <w:bookmarkEnd w:id="192"/>
      <w:bookmarkEnd w:id="193"/>
      <w:bookmarkEnd w:id="194"/>
      <w:bookmarkEnd w:id="195"/>
      <w:bookmarkEnd w:id="196"/>
      <w:bookmarkEnd w:id="197"/>
    </w:p>
    <w:p w14:paraId="555A0DA9">
      <w:pPr>
        <w:tabs>
          <w:tab w:val="left" w:pos="462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提供符合投标邀请（招标公告）、需求一览表及评标办法规定的相关证明文件。</w:t>
      </w:r>
    </w:p>
    <w:p w14:paraId="0CC3C863">
      <w:pPr>
        <w:tabs>
          <w:tab w:val="left" w:pos="4620"/>
        </w:tabs>
        <w:spacing w:line="360" w:lineRule="auto"/>
        <w:ind w:firstLine="480" w:firstLineChars="200"/>
        <w:rPr>
          <w:rFonts w:hint="eastAsia" w:ascii="宋体" w:hAnsi="宋体" w:eastAsia="宋体" w:cs="宋体"/>
          <w:color w:val="auto"/>
          <w:sz w:val="24"/>
          <w:highlight w:val="none"/>
        </w:rPr>
      </w:pPr>
    </w:p>
    <w:p w14:paraId="76B7E5F7">
      <w:pPr>
        <w:tabs>
          <w:tab w:val="left" w:pos="4620"/>
        </w:tabs>
        <w:spacing w:line="360" w:lineRule="auto"/>
        <w:ind w:firstLine="480" w:firstLineChars="200"/>
        <w:rPr>
          <w:rFonts w:hint="eastAsia" w:ascii="宋体" w:hAnsi="宋体" w:eastAsia="宋体" w:cs="宋体"/>
          <w:color w:val="auto"/>
          <w:sz w:val="24"/>
          <w:highlight w:val="none"/>
        </w:rPr>
      </w:pPr>
    </w:p>
    <w:p w14:paraId="3C9F6784">
      <w:pPr>
        <w:tabs>
          <w:tab w:val="left" w:pos="4620"/>
        </w:tabs>
        <w:spacing w:line="360" w:lineRule="auto"/>
        <w:ind w:firstLine="480" w:firstLineChars="200"/>
        <w:rPr>
          <w:rFonts w:hint="eastAsia" w:ascii="宋体" w:hAnsi="宋体" w:eastAsia="宋体" w:cs="宋体"/>
          <w:color w:val="auto"/>
          <w:sz w:val="24"/>
          <w:highlight w:val="none"/>
        </w:rPr>
      </w:pPr>
    </w:p>
    <w:p w14:paraId="2433956D">
      <w:pPr>
        <w:tabs>
          <w:tab w:val="left" w:pos="4620"/>
        </w:tabs>
        <w:spacing w:line="360" w:lineRule="auto"/>
        <w:ind w:firstLine="480" w:firstLineChars="200"/>
        <w:rPr>
          <w:rFonts w:hint="eastAsia" w:ascii="宋体" w:hAnsi="宋体" w:eastAsia="宋体" w:cs="宋体"/>
          <w:color w:val="auto"/>
          <w:sz w:val="24"/>
          <w:highlight w:val="none"/>
        </w:rPr>
      </w:pPr>
    </w:p>
    <w:p w14:paraId="06CD9228">
      <w:pPr>
        <w:tabs>
          <w:tab w:val="left" w:pos="4620"/>
        </w:tabs>
        <w:spacing w:line="360" w:lineRule="auto"/>
        <w:ind w:firstLine="480" w:firstLineChars="200"/>
        <w:rPr>
          <w:rFonts w:hint="eastAsia" w:ascii="宋体" w:hAnsi="宋体" w:eastAsia="宋体" w:cs="宋体"/>
          <w:color w:val="auto"/>
          <w:sz w:val="24"/>
          <w:highlight w:val="none"/>
        </w:rPr>
      </w:pPr>
    </w:p>
    <w:p w14:paraId="1C0A8CCD">
      <w:pPr>
        <w:tabs>
          <w:tab w:val="left" w:pos="4620"/>
        </w:tabs>
        <w:spacing w:line="360" w:lineRule="auto"/>
        <w:ind w:firstLine="480" w:firstLineChars="200"/>
        <w:rPr>
          <w:rFonts w:hint="eastAsia" w:ascii="宋体" w:hAnsi="宋体" w:eastAsia="宋体" w:cs="宋体"/>
          <w:color w:val="auto"/>
          <w:sz w:val="24"/>
          <w:highlight w:val="none"/>
        </w:rPr>
      </w:pPr>
    </w:p>
    <w:p w14:paraId="2FF4B0C2">
      <w:pPr>
        <w:tabs>
          <w:tab w:val="left" w:pos="4620"/>
        </w:tabs>
        <w:spacing w:line="360" w:lineRule="auto"/>
        <w:ind w:firstLine="480" w:firstLineChars="200"/>
        <w:rPr>
          <w:rFonts w:hint="eastAsia" w:ascii="宋体" w:hAnsi="宋体" w:eastAsia="宋体" w:cs="宋体"/>
          <w:color w:val="auto"/>
          <w:sz w:val="24"/>
          <w:highlight w:val="none"/>
        </w:rPr>
      </w:pPr>
    </w:p>
    <w:p w14:paraId="36A5A893">
      <w:pPr>
        <w:tabs>
          <w:tab w:val="left" w:pos="4620"/>
        </w:tabs>
        <w:spacing w:line="360" w:lineRule="auto"/>
        <w:ind w:firstLine="480" w:firstLineChars="200"/>
        <w:rPr>
          <w:rFonts w:hint="eastAsia" w:ascii="宋体" w:hAnsi="宋体" w:eastAsia="宋体" w:cs="宋体"/>
          <w:color w:val="auto"/>
          <w:sz w:val="24"/>
          <w:highlight w:val="none"/>
        </w:rPr>
      </w:pPr>
    </w:p>
    <w:p w14:paraId="0EA67908">
      <w:pPr>
        <w:tabs>
          <w:tab w:val="left" w:pos="4620"/>
        </w:tabs>
        <w:spacing w:line="360" w:lineRule="auto"/>
        <w:ind w:firstLine="480" w:firstLineChars="200"/>
        <w:rPr>
          <w:rFonts w:hint="eastAsia" w:ascii="宋体" w:hAnsi="宋体" w:eastAsia="宋体" w:cs="宋体"/>
          <w:color w:val="auto"/>
          <w:sz w:val="24"/>
          <w:highlight w:val="none"/>
        </w:rPr>
      </w:pPr>
    </w:p>
    <w:p w14:paraId="6FB44C02">
      <w:pPr>
        <w:tabs>
          <w:tab w:val="left" w:pos="4620"/>
        </w:tabs>
        <w:spacing w:line="360" w:lineRule="auto"/>
        <w:ind w:firstLine="480" w:firstLineChars="200"/>
        <w:rPr>
          <w:rFonts w:hint="eastAsia" w:ascii="宋体" w:hAnsi="宋体" w:eastAsia="宋体" w:cs="宋体"/>
          <w:color w:val="auto"/>
          <w:sz w:val="24"/>
          <w:highlight w:val="none"/>
        </w:rPr>
      </w:pPr>
    </w:p>
    <w:p w14:paraId="786E7B51">
      <w:pPr>
        <w:tabs>
          <w:tab w:val="left" w:pos="4620"/>
        </w:tabs>
        <w:spacing w:line="360" w:lineRule="auto"/>
        <w:ind w:firstLine="480" w:firstLineChars="200"/>
        <w:rPr>
          <w:rFonts w:hint="eastAsia" w:ascii="宋体" w:hAnsi="宋体" w:eastAsia="宋体" w:cs="宋体"/>
          <w:color w:val="auto"/>
          <w:sz w:val="24"/>
          <w:highlight w:val="none"/>
        </w:rPr>
      </w:pPr>
    </w:p>
    <w:p w14:paraId="46A7755E">
      <w:pPr>
        <w:tabs>
          <w:tab w:val="left" w:pos="4620"/>
        </w:tabs>
        <w:spacing w:line="360" w:lineRule="auto"/>
        <w:ind w:firstLine="480" w:firstLineChars="200"/>
        <w:rPr>
          <w:rFonts w:hint="eastAsia" w:ascii="宋体" w:hAnsi="宋体" w:eastAsia="宋体" w:cs="宋体"/>
          <w:color w:val="auto"/>
          <w:sz w:val="24"/>
          <w:highlight w:val="none"/>
        </w:rPr>
      </w:pPr>
    </w:p>
    <w:p w14:paraId="6ADF6CCF">
      <w:pPr>
        <w:tabs>
          <w:tab w:val="left" w:pos="4620"/>
        </w:tabs>
        <w:spacing w:line="360" w:lineRule="auto"/>
        <w:ind w:firstLine="480" w:firstLineChars="200"/>
        <w:rPr>
          <w:rFonts w:hint="eastAsia" w:ascii="宋体" w:hAnsi="宋体" w:eastAsia="宋体" w:cs="宋体"/>
          <w:color w:val="auto"/>
          <w:sz w:val="24"/>
          <w:highlight w:val="none"/>
        </w:rPr>
      </w:pPr>
    </w:p>
    <w:p w14:paraId="4009E79B">
      <w:pPr>
        <w:tabs>
          <w:tab w:val="left" w:pos="4620"/>
        </w:tabs>
        <w:spacing w:line="360" w:lineRule="auto"/>
        <w:rPr>
          <w:rFonts w:hint="eastAsia" w:ascii="宋体" w:hAnsi="宋体" w:eastAsia="宋体" w:cs="宋体"/>
          <w:color w:val="auto"/>
          <w:sz w:val="24"/>
          <w:highlight w:val="none"/>
        </w:rPr>
      </w:pPr>
    </w:p>
    <w:p w14:paraId="6AF47DB2">
      <w:pPr>
        <w:tabs>
          <w:tab w:val="left" w:pos="4620"/>
        </w:tabs>
        <w:spacing w:line="360" w:lineRule="auto"/>
        <w:ind w:firstLine="480" w:firstLineChars="200"/>
        <w:rPr>
          <w:rFonts w:hint="eastAsia" w:ascii="宋体" w:hAnsi="宋体" w:eastAsia="宋体" w:cs="宋体"/>
          <w:color w:val="auto"/>
          <w:sz w:val="24"/>
          <w:highlight w:val="none"/>
        </w:rPr>
      </w:pPr>
    </w:p>
    <w:p w14:paraId="65974C51">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p>
    <w:p w14:paraId="225C9F6C">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center"/>
        <w:textAlignment w:val="auto"/>
        <w:rPr>
          <w:rFonts w:hint="eastAsia"/>
          <w:b/>
          <w:bCs/>
          <w:color w:val="auto"/>
          <w:sz w:val="28"/>
          <w:szCs w:val="28"/>
          <w:highlight w:val="none"/>
        </w:rPr>
      </w:pPr>
      <w:r>
        <w:rPr>
          <w:rFonts w:hint="eastAsia"/>
          <w:b/>
          <w:bCs/>
          <w:color w:val="auto"/>
          <w:sz w:val="28"/>
          <w:szCs w:val="28"/>
          <w:highlight w:val="none"/>
        </w:rPr>
        <w:br w:type="page"/>
      </w:r>
      <w:r>
        <w:rPr>
          <w:rFonts w:hint="eastAsia"/>
          <w:b/>
          <w:bCs/>
          <w:color w:val="auto"/>
          <w:sz w:val="28"/>
          <w:szCs w:val="28"/>
          <w:highlight w:val="none"/>
        </w:rPr>
        <w:t>中小企业声明函（工程、服务）</w:t>
      </w:r>
    </w:p>
    <w:p w14:paraId="0201CDB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1226ED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24DFB6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万元，属于（中型企业、小型企业、微型企业）； </w:t>
      </w:r>
    </w:p>
    <w:p w14:paraId="66980B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3F27AD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4800F4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14:paraId="3381A0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4472C7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2BD09BFB">
      <w:pPr>
        <w:pStyle w:val="2"/>
        <w:rPr>
          <w:rFonts w:hint="eastAsia" w:ascii="宋体" w:hAnsi="宋体" w:eastAsia="宋体" w:cs="宋体"/>
          <w:color w:val="auto"/>
          <w:sz w:val="24"/>
          <w:szCs w:val="24"/>
          <w:highlight w:val="none"/>
        </w:rPr>
      </w:pPr>
    </w:p>
    <w:p w14:paraId="51694673">
      <w:pPr>
        <w:pStyle w:val="3"/>
        <w:rPr>
          <w:rFonts w:hint="eastAsia" w:ascii="宋体" w:hAnsi="宋体" w:eastAsia="宋体" w:cs="宋体"/>
          <w:color w:val="auto"/>
          <w:sz w:val="24"/>
          <w:szCs w:val="24"/>
          <w:highlight w:val="none"/>
        </w:rPr>
      </w:pPr>
    </w:p>
    <w:p w14:paraId="54B3D499">
      <w:pPr>
        <w:rPr>
          <w:rFonts w:hint="eastAsia" w:ascii="宋体" w:hAnsi="宋体" w:eastAsia="宋体" w:cs="宋体"/>
          <w:color w:val="auto"/>
          <w:sz w:val="24"/>
          <w:szCs w:val="24"/>
          <w:highlight w:val="none"/>
        </w:rPr>
      </w:pPr>
    </w:p>
    <w:p w14:paraId="3A39BCC5">
      <w:pPr>
        <w:pStyle w:val="2"/>
        <w:rPr>
          <w:rFonts w:hint="eastAsia" w:ascii="宋体" w:hAnsi="宋体" w:eastAsia="宋体" w:cs="宋体"/>
          <w:color w:val="auto"/>
          <w:sz w:val="24"/>
          <w:szCs w:val="24"/>
          <w:highlight w:val="none"/>
        </w:rPr>
      </w:pPr>
    </w:p>
    <w:p w14:paraId="6377EE28">
      <w:pPr>
        <w:pStyle w:val="3"/>
        <w:rPr>
          <w:rFonts w:hint="eastAsia"/>
          <w:color w:val="auto"/>
          <w:highlight w:val="none"/>
        </w:rPr>
      </w:pPr>
    </w:p>
    <w:p w14:paraId="72F299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7DF508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09D1CAE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8"/>
          <w:highlight w:val="none"/>
          <w:lang w:val="en-US" w:eastAsia="zh-CN"/>
        </w:rPr>
      </w:pPr>
    </w:p>
    <w:p w14:paraId="55D53762">
      <w:pPr>
        <w:rPr>
          <w:rFonts w:hint="eastAsia" w:ascii="宋体" w:hAnsi="宋体" w:eastAsia="宋体" w:cs="宋体"/>
          <w:color w:val="auto"/>
          <w:sz w:val="28"/>
          <w:szCs w:val="28"/>
          <w:highlight w:val="none"/>
        </w:rPr>
      </w:pPr>
    </w:p>
    <w:p w14:paraId="180CBECC">
      <w:pPr>
        <w:rPr>
          <w:rFonts w:hint="eastAsia" w:ascii="宋体" w:hAnsi="宋体" w:eastAsia="宋体" w:cs="宋体"/>
          <w:color w:val="auto"/>
          <w:sz w:val="28"/>
          <w:szCs w:val="28"/>
          <w:highlight w:val="none"/>
        </w:rPr>
      </w:pPr>
      <w:bookmarkStart w:id="198" w:name="_Toc220232403"/>
    </w:p>
    <w:p w14:paraId="56716C09">
      <w:pPr>
        <w:rPr>
          <w:rFonts w:hint="eastAsia" w:ascii="宋体" w:hAnsi="宋体" w:eastAsia="宋体" w:cs="宋体"/>
          <w:color w:val="auto"/>
          <w:sz w:val="28"/>
          <w:szCs w:val="28"/>
          <w:highlight w:val="none"/>
        </w:rPr>
      </w:pPr>
    </w:p>
    <w:bookmarkEnd w:id="198"/>
    <w:p w14:paraId="172A79BB">
      <w:pPr>
        <w:pStyle w:val="6"/>
        <w:jc w:val="both"/>
        <w:rPr>
          <w:rFonts w:hint="eastAsia" w:ascii="宋体" w:hAnsi="宋体" w:eastAsia="宋体" w:cs="宋体"/>
          <w:color w:val="auto"/>
          <w:sz w:val="36"/>
          <w:szCs w:val="36"/>
          <w:highlight w:val="none"/>
        </w:rPr>
      </w:pPr>
      <w:bookmarkStart w:id="199" w:name="_Hlt526418103"/>
      <w:bookmarkEnd w:id="199"/>
      <w:bookmarkStart w:id="200" w:name="_Hlt526418111"/>
      <w:bookmarkEnd w:id="200"/>
      <w:bookmarkStart w:id="201" w:name="_Toc2532_WPSOffice_Level2"/>
      <w:bookmarkStart w:id="202" w:name="_Toc220232405"/>
      <w:bookmarkStart w:id="203" w:name="_Toc516969110"/>
      <w:r>
        <w:rPr>
          <w:rFonts w:hint="eastAsia" w:ascii="宋体" w:hAnsi="宋体" w:eastAsia="宋体" w:cs="宋体"/>
          <w:color w:val="auto"/>
          <w:sz w:val="28"/>
          <w:highlight w:val="none"/>
        </w:rPr>
        <w:br w:type="page"/>
      </w:r>
      <w:bookmarkStart w:id="204" w:name="_Toc2639"/>
      <w:bookmarkStart w:id="205" w:name="_Toc3638"/>
      <w:bookmarkStart w:id="206" w:name="_Toc40975458"/>
      <w:bookmarkStart w:id="207" w:name="_Toc10948"/>
      <w:r>
        <w:rPr>
          <w:rFonts w:hint="eastAsia" w:ascii="宋体" w:hAnsi="宋体" w:eastAsia="宋体" w:cs="宋体"/>
          <w:color w:val="auto"/>
          <w:sz w:val="28"/>
          <w:highlight w:val="none"/>
          <w:lang w:eastAsia="zh-CN"/>
        </w:rPr>
        <w:t>九</w:t>
      </w:r>
      <w:r>
        <w:rPr>
          <w:rFonts w:hint="eastAsia" w:ascii="宋体" w:hAnsi="宋体" w:eastAsia="宋体" w:cs="宋体"/>
          <w:color w:val="auto"/>
          <w:sz w:val="28"/>
          <w:highlight w:val="none"/>
        </w:rPr>
        <w:t>．售后服务</w:t>
      </w:r>
      <w:bookmarkEnd w:id="201"/>
      <w:bookmarkEnd w:id="202"/>
      <w:bookmarkEnd w:id="203"/>
      <w:bookmarkEnd w:id="204"/>
      <w:bookmarkEnd w:id="205"/>
      <w:bookmarkEnd w:id="206"/>
      <w:bookmarkEnd w:id="207"/>
    </w:p>
    <w:p w14:paraId="7AD3B50A">
      <w:pPr>
        <w:jc w:val="center"/>
        <w:rPr>
          <w:rFonts w:hint="eastAsia" w:ascii="宋体" w:hAnsi="宋体" w:eastAsia="宋体" w:cs="宋体"/>
          <w:color w:val="auto"/>
          <w:sz w:val="28"/>
          <w:highlight w:val="none"/>
        </w:rPr>
      </w:pPr>
      <w:r>
        <w:rPr>
          <w:rFonts w:hint="eastAsia" w:ascii="宋体" w:hAnsi="宋体" w:eastAsia="宋体" w:cs="宋体"/>
          <w:color w:val="auto"/>
          <w:sz w:val="24"/>
          <w:highlight w:val="none"/>
        </w:rPr>
        <w:t>(投标人可自行制作格式)</w:t>
      </w:r>
    </w:p>
    <w:p w14:paraId="7F15355E">
      <w:pPr>
        <w:spacing w:line="500" w:lineRule="exact"/>
        <w:jc w:val="center"/>
        <w:rPr>
          <w:rFonts w:hint="eastAsia" w:ascii="宋体" w:hAnsi="宋体" w:eastAsia="宋体" w:cs="宋体"/>
          <w:b/>
          <w:bCs/>
          <w:color w:val="auto"/>
          <w:sz w:val="30"/>
          <w:highlight w:val="none"/>
        </w:rPr>
      </w:pPr>
      <w:bookmarkStart w:id="208" w:name="_Hlt526418107"/>
      <w:bookmarkEnd w:id="208"/>
    </w:p>
    <w:p w14:paraId="430132EA">
      <w:pPr>
        <w:pStyle w:val="6"/>
        <w:rPr>
          <w:rFonts w:hint="eastAsia" w:ascii="宋体" w:hAnsi="宋体" w:eastAsia="宋体" w:cs="宋体"/>
          <w:color w:val="auto"/>
          <w:sz w:val="44"/>
          <w:highlight w:val="none"/>
        </w:rPr>
      </w:pPr>
      <w:bookmarkStart w:id="209" w:name="_Toc197934560"/>
      <w:bookmarkStart w:id="210" w:name="_Toc26966"/>
      <w:bookmarkStart w:id="211" w:name="_Toc30338_WPSOffice_Level2"/>
      <w:bookmarkStart w:id="212" w:name="_Toc359404312"/>
      <w:bookmarkStart w:id="213" w:name="_Toc40975459"/>
      <w:bookmarkStart w:id="214" w:name="_Toc10813"/>
      <w:bookmarkStart w:id="215" w:name="_Toc516969111"/>
      <w:bookmarkStart w:id="216" w:name="_Hlt509738384"/>
      <w:bookmarkStart w:id="217" w:name="_Toc27099"/>
      <w:r>
        <w:rPr>
          <w:rFonts w:hint="eastAsia" w:ascii="宋体" w:hAnsi="宋体" w:eastAsia="宋体" w:cs="宋体"/>
          <w:color w:val="auto"/>
          <w:sz w:val="28"/>
          <w:highlight w:val="none"/>
        </w:rPr>
        <w:t>十、所投</w:t>
      </w:r>
      <w:r>
        <w:rPr>
          <w:rFonts w:hint="eastAsia" w:ascii="宋体" w:hAnsi="宋体" w:eastAsia="宋体" w:cs="宋体"/>
          <w:color w:val="auto"/>
          <w:sz w:val="28"/>
          <w:highlight w:val="none"/>
          <w:lang w:eastAsia="zh-CN"/>
        </w:rPr>
        <w:t>服务</w:t>
      </w:r>
      <w:r>
        <w:rPr>
          <w:rFonts w:hint="eastAsia" w:ascii="宋体" w:hAnsi="宋体" w:eastAsia="宋体" w:cs="宋体"/>
          <w:color w:val="auto"/>
          <w:sz w:val="28"/>
          <w:highlight w:val="none"/>
        </w:rPr>
        <w:t>的技术资料等</w:t>
      </w:r>
      <w:bookmarkEnd w:id="209"/>
      <w:bookmarkEnd w:id="210"/>
      <w:bookmarkEnd w:id="211"/>
      <w:bookmarkEnd w:id="212"/>
      <w:bookmarkEnd w:id="213"/>
      <w:bookmarkEnd w:id="214"/>
      <w:bookmarkEnd w:id="215"/>
      <w:bookmarkEnd w:id="216"/>
      <w:bookmarkEnd w:id="217"/>
      <w:bookmarkStart w:id="218" w:name="_Hlt509650291"/>
      <w:bookmarkEnd w:id="218"/>
    </w:p>
    <w:p w14:paraId="05E4842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（投标人可自行制作格式，可附产品技术彩页）</w:t>
      </w:r>
    </w:p>
    <w:p w14:paraId="78901774">
      <w:pPr>
        <w:jc w:val="center"/>
        <w:rPr>
          <w:rFonts w:hint="eastAsia" w:ascii="宋体" w:hAnsi="宋体" w:eastAsia="宋体" w:cs="宋体"/>
          <w:color w:val="auto"/>
          <w:sz w:val="24"/>
          <w:highlight w:val="none"/>
        </w:rPr>
      </w:pPr>
    </w:p>
    <w:p w14:paraId="409060ED">
      <w:pPr>
        <w:jc w:val="center"/>
        <w:rPr>
          <w:rFonts w:hint="eastAsia" w:ascii="宋体" w:hAnsi="宋体" w:eastAsia="宋体" w:cs="宋体"/>
          <w:color w:val="auto"/>
          <w:sz w:val="24"/>
          <w:highlight w:val="none"/>
        </w:rPr>
      </w:pPr>
    </w:p>
    <w:p w14:paraId="214CD2DB">
      <w:pPr>
        <w:jc w:val="center"/>
        <w:rPr>
          <w:rFonts w:hint="eastAsia" w:ascii="宋体" w:hAnsi="宋体" w:eastAsia="宋体" w:cs="宋体"/>
          <w:color w:val="auto"/>
          <w:sz w:val="24"/>
          <w:highlight w:val="none"/>
        </w:rPr>
      </w:pPr>
    </w:p>
    <w:p w14:paraId="104B1422">
      <w:pPr>
        <w:pStyle w:val="6"/>
        <w:rPr>
          <w:rFonts w:hint="eastAsia" w:ascii="宋体" w:hAnsi="宋体" w:eastAsia="宋体" w:cs="宋体"/>
          <w:color w:val="auto"/>
          <w:sz w:val="28"/>
          <w:highlight w:val="none"/>
        </w:rPr>
      </w:pPr>
      <w:bookmarkStart w:id="219" w:name="_Toc10283"/>
      <w:bookmarkStart w:id="220" w:name="_Toc1814"/>
      <w:bookmarkStart w:id="221" w:name="_Toc17042"/>
      <w:r>
        <w:rPr>
          <w:rFonts w:hint="eastAsia" w:ascii="宋体" w:hAnsi="宋体" w:eastAsia="宋体" w:cs="宋体"/>
          <w:color w:val="auto"/>
          <w:sz w:val="28"/>
          <w:highlight w:val="none"/>
        </w:rPr>
        <w:t>十</w:t>
      </w:r>
      <w:r>
        <w:rPr>
          <w:rFonts w:hint="eastAsia" w:ascii="宋体" w:hAnsi="宋体" w:eastAsia="宋体" w:cs="宋体"/>
          <w:color w:val="auto"/>
          <w:sz w:val="28"/>
          <w:highlight w:val="none"/>
          <w:lang w:eastAsia="zh-CN"/>
        </w:rPr>
        <w:t>一</w:t>
      </w:r>
      <w:r>
        <w:rPr>
          <w:rFonts w:hint="eastAsia" w:ascii="宋体" w:hAnsi="宋体" w:eastAsia="宋体" w:cs="宋体"/>
          <w:color w:val="auto"/>
          <w:sz w:val="28"/>
          <w:highlight w:val="none"/>
        </w:rPr>
        <w:t>、其他投标人认为需要提供得材料等</w:t>
      </w:r>
      <w:bookmarkEnd w:id="219"/>
      <w:bookmarkEnd w:id="220"/>
      <w:bookmarkEnd w:id="221"/>
    </w:p>
    <w:p w14:paraId="2B77FFA4">
      <w:pPr>
        <w:pStyle w:val="6"/>
        <w:rPr>
          <w:rFonts w:hint="eastAsia" w:ascii="宋体" w:hAnsi="宋体" w:eastAsia="宋体" w:cs="宋体"/>
          <w:color w:val="auto"/>
          <w:sz w:val="28"/>
          <w:highlight w:val="none"/>
        </w:rPr>
      </w:pPr>
    </w:p>
    <w:p w14:paraId="5514F709">
      <w:pPr>
        <w:jc w:val="center"/>
        <w:rPr>
          <w:rFonts w:hint="eastAsia" w:ascii="宋体" w:hAnsi="宋体" w:eastAsia="宋体" w:cs="宋体"/>
          <w:color w:val="auto"/>
          <w:sz w:val="24"/>
          <w:highlight w:val="none"/>
        </w:rPr>
      </w:pPr>
    </w:p>
    <w:p w14:paraId="4F9A4EFD">
      <w:pPr>
        <w:jc w:val="center"/>
        <w:rPr>
          <w:rFonts w:hint="eastAsia" w:ascii="宋体" w:hAnsi="宋体" w:eastAsia="宋体" w:cs="宋体"/>
          <w:color w:val="auto"/>
          <w:sz w:val="24"/>
          <w:highlight w:val="none"/>
        </w:rPr>
      </w:pPr>
    </w:p>
    <w:p w14:paraId="0581C8F8">
      <w:pPr>
        <w:jc w:val="center"/>
        <w:rPr>
          <w:rFonts w:hint="eastAsia" w:ascii="宋体" w:hAnsi="宋体" w:eastAsia="宋体" w:cs="宋体"/>
          <w:color w:val="auto"/>
          <w:sz w:val="24"/>
          <w:highlight w:val="none"/>
        </w:rPr>
      </w:pPr>
    </w:p>
    <w:p w14:paraId="3A30796C">
      <w:pPr>
        <w:jc w:val="center"/>
        <w:rPr>
          <w:rFonts w:hint="eastAsia" w:ascii="宋体" w:hAnsi="宋体" w:eastAsia="宋体" w:cs="宋体"/>
          <w:color w:val="auto"/>
          <w:sz w:val="24"/>
          <w:highlight w:val="none"/>
        </w:rPr>
      </w:pPr>
    </w:p>
    <w:p w14:paraId="683E3626">
      <w:pPr>
        <w:jc w:val="center"/>
        <w:rPr>
          <w:rFonts w:hint="eastAsia" w:ascii="宋体" w:hAnsi="宋体" w:eastAsia="宋体" w:cs="宋体"/>
          <w:color w:val="auto"/>
          <w:sz w:val="24"/>
          <w:highlight w:val="none"/>
        </w:rPr>
      </w:pPr>
    </w:p>
    <w:p w14:paraId="43804695">
      <w:pPr>
        <w:jc w:val="center"/>
        <w:rPr>
          <w:rFonts w:hint="eastAsia" w:ascii="宋体" w:hAnsi="宋体" w:eastAsia="宋体" w:cs="宋体"/>
          <w:color w:val="auto"/>
          <w:sz w:val="24"/>
          <w:highlight w:val="none"/>
        </w:rPr>
      </w:pPr>
    </w:p>
    <w:p w14:paraId="63753DE8">
      <w:pPr>
        <w:jc w:val="center"/>
        <w:rPr>
          <w:rFonts w:hint="eastAsia" w:ascii="宋体" w:hAnsi="宋体" w:eastAsia="宋体" w:cs="宋体"/>
          <w:color w:val="auto"/>
          <w:sz w:val="24"/>
          <w:highlight w:val="none"/>
        </w:rPr>
      </w:pPr>
    </w:p>
    <w:p w14:paraId="705EE6D1">
      <w:pPr>
        <w:jc w:val="center"/>
        <w:rPr>
          <w:rFonts w:hint="eastAsia" w:ascii="宋体" w:hAnsi="宋体" w:eastAsia="宋体" w:cs="宋体"/>
          <w:color w:val="auto"/>
          <w:sz w:val="24"/>
          <w:highlight w:val="none"/>
        </w:rPr>
      </w:pPr>
    </w:p>
    <w:p w14:paraId="75D94758">
      <w:pPr>
        <w:jc w:val="center"/>
        <w:rPr>
          <w:rFonts w:hint="eastAsia" w:ascii="宋体" w:hAnsi="宋体" w:eastAsia="宋体" w:cs="宋体"/>
          <w:color w:val="auto"/>
          <w:sz w:val="24"/>
          <w:highlight w:val="none"/>
        </w:rPr>
      </w:pPr>
    </w:p>
    <w:p w14:paraId="27C10553">
      <w:pPr>
        <w:jc w:val="center"/>
        <w:rPr>
          <w:rFonts w:hint="eastAsia" w:ascii="宋体" w:hAnsi="宋体" w:eastAsia="宋体" w:cs="宋体"/>
          <w:color w:val="auto"/>
          <w:sz w:val="24"/>
          <w:highlight w:val="none"/>
        </w:rPr>
      </w:pPr>
    </w:p>
    <w:p w14:paraId="555D2E61">
      <w:pPr>
        <w:jc w:val="center"/>
        <w:rPr>
          <w:rFonts w:hint="eastAsia" w:ascii="宋体" w:hAnsi="宋体" w:eastAsia="宋体" w:cs="宋体"/>
          <w:color w:val="auto"/>
          <w:sz w:val="24"/>
          <w:highlight w:val="none"/>
        </w:rPr>
      </w:pPr>
    </w:p>
    <w:p w14:paraId="06D8A5B0">
      <w:pPr>
        <w:jc w:val="center"/>
        <w:rPr>
          <w:rFonts w:hint="eastAsia" w:ascii="宋体" w:hAnsi="宋体" w:eastAsia="宋体" w:cs="宋体"/>
          <w:color w:val="auto"/>
          <w:sz w:val="24"/>
          <w:highlight w:val="none"/>
        </w:rPr>
      </w:pPr>
    </w:p>
    <w:p w14:paraId="79A4CCA2">
      <w:pPr>
        <w:pStyle w:val="18"/>
        <w:rPr>
          <w:rFonts w:hint="eastAsia" w:ascii="宋体" w:hAnsi="宋体" w:eastAsia="宋体" w:cs="宋体"/>
          <w:color w:val="auto"/>
          <w:highlight w:val="none"/>
        </w:rPr>
      </w:pPr>
    </w:p>
    <w:p w14:paraId="436391C5">
      <w:pPr>
        <w:pStyle w:val="18"/>
        <w:rPr>
          <w:rFonts w:hint="eastAsia" w:ascii="宋体" w:hAnsi="宋体" w:eastAsia="宋体" w:cs="宋体"/>
          <w:color w:val="auto"/>
          <w:highlight w:val="none"/>
        </w:rPr>
      </w:pPr>
    </w:p>
    <w:p w14:paraId="3573D742">
      <w:pPr>
        <w:pStyle w:val="18"/>
        <w:rPr>
          <w:rFonts w:hint="eastAsia" w:ascii="宋体" w:hAnsi="宋体" w:eastAsia="宋体" w:cs="宋体"/>
          <w:color w:val="auto"/>
          <w:highlight w:val="none"/>
        </w:rPr>
      </w:pPr>
    </w:p>
    <w:p w14:paraId="425CEF30">
      <w:pPr>
        <w:pStyle w:val="18"/>
        <w:rPr>
          <w:rFonts w:hint="eastAsia" w:ascii="宋体" w:hAnsi="宋体" w:eastAsia="宋体" w:cs="宋体"/>
          <w:color w:val="auto"/>
          <w:highlight w:val="none"/>
        </w:rPr>
      </w:pPr>
    </w:p>
    <w:p w14:paraId="584814FC">
      <w:pPr>
        <w:pStyle w:val="18"/>
        <w:rPr>
          <w:rFonts w:hint="eastAsia" w:ascii="宋体" w:hAnsi="宋体" w:eastAsia="宋体" w:cs="宋体"/>
          <w:color w:val="auto"/>
          <w:highlight w:val="none"/>
        </w:rPr>
      </w:pPr>
    </w:p>
    <w:p w14:paraId="202BFB02">
      <w:pPr>
        <w:pStyle w:val="18"/>
        <w:rPr>
          <w:rFonts w:hint="eastAsia" w:ascii="宋体" w:hAnsi="宋体" w:eastAsia="宋体" w:cs="宋体"/>
          <w:color w:val="auto"/>
          <w:highlight w:val="none"/>
        </w:rPr>
      </w:pPr>
    </w:p>
    <w:p w14:paraId="24AF3455">
      <w:pPr>
        <w:pStyle w:val="18"/>
        <w:rPr>
          <w:rFonts w:hint="eastAsia" w:ascii="宋体" w:hAnsi="宋体" w:eastAsia="宋体" w:cs="宋体"/>
          <w:color w:val="auto"/>
          <w:highlight w:val="none"/>
        </w:rPr>
      </w:pPr>
    </w:p>
    <w:p w14:paraId="04A8E5D5">
      <w:pPr>
        <w:jc w:val="center"/>
        <w:rPr>
          <w:rFonts w:hint="eastAsia" w:ascii="宋体" w:hAnsi="宋体" w:eastAsia="宋体" w:cs="宋体"/>
          <w:color w:val="auto"/>
          <w:sz w:val="24"/>
          <w:highlight w:val="none"/>
        </w:rPr>
      </w:pPr>
    </w:p>
    <w:p w14:paraId="2F5248EF">
      <w:pPr>
        <w:jc w:val="center"/>
        <w:rPr>
          <w:rFonts w:hint="eastAsia" w:ascii="宋体" w:hAnsi="宋体" w:eastAsia="宋体" w:cs="宋体"/>
          <w:color w:val="auto"/>
          <w:sz w:val="24"/>
          <w:highlight w:val="none"/>
        </w:rPr>
      </w:pPr>
    </w:p>
    <w:p w14:paraId="628A28DB">
      <w:pPr>
        <w:jc w:val="center"/>
        <w:rPr>
          <w:rFonts w:hint="eastAsia" w:ascii="宋体" w:hAnsi="宋体" w:eastAsia="宋体" w:cs="宋体"/>
          <w:color w:val="auto"/>
          <w:sz w:val="24"/>
          <w:highlight w:val="none"/>
        </w:rPr>
      </w:pPr>
    </w:p>
    <w:p w14:paraId="483740A2">
      <w:pPr>
        <w:jc w:val="center"/>
        <w:rPr>
          <w:rFonts w:hint="eastAsia" w:ascii="宋体" w:hAnsi="宋体" w:eastAsia="宋体" w:cs="宋体"/>
          <w:color w:val="auto"/>
          <w:sz w:val="24"/>
          <w:highlight w:val="none"/>
        </w:rPr>
      </w:pPr>
    </w:p>
    <w:p w14:paraId="61DE00A8">
      <w:pPr>
        <w:jc w:val="center"/>
        <w:rPr>
          <w:rFonts w:hint="eastAsia" w:ascii="宋体" w:hAnsi="宋体" w:eastAsia="宋体" w:cs="宋体"/>
          <w:color w:val="auto"/>
          <w:sz w:val="24"/>
          <w:highlight w:val="none"/>
        </w:rPr>
      </w:pPr>
    </w:p>
    <w:p w14:paraId="1B465F0D">
      <w:pPr>
        <w:pStyle w:val="18"/>
        <w:rPr>
          <w:rFonts w:hint="eastAsia" w:ascii="宋体" w:hAnsi="宋体" w:eastAsia="宋体" w:cs="宋体"/>
          <w:color w:val="auto"/>
          <w:highlight w:val="none"/>
        </w:rPr>
      </w:pPr>
    </w:p>
    <w:p w14:paraId="59CFA4C0">
      <w:pPr>
        <w:pStyle w:val="18"/>
        <w:rPr>
          <w:rFonts w:hint="eastAsia" w:ascii="宋体" w:hAnsi="宋体" w:eastAsia="宋体" w:cs="宋体"/>
          <w:color w:val="auto"/>
          <w:highlight w:val="none"/>
        </w:rPr>
      </w:pPr>
    </w:p>
    <w:p w14:paraId="7075EC20">
      <w:pPr>
        <w:pStyle w:val="18"/>
        <w:rPr>
          <w:rFonts w:hint="eastAsia" w:ascii="宋体" w:hAnsi="宋体" w:eastAsia="宋体" w:cs="宋体"/>
          <w:color w:val="auto"/>
          <w:highlight w:val="none"/>
        </w:rPr>
      </w:pPr>
    </w:p>
    <w:p w14:paraId="0D34AF2F">
      <w:pPr>
        <w:pStyle w:val="21"/>
        <w:ind w:right="-21" w:firstLine="0" w:firstLineChars="0"/>
        <w:rPr>
          <w:rFonts w:hint="eastAsia" w:ascii="宋体" w:hAnsi="宋体" w:eastAsia="宋体" w:cs="宋体"/>
          <w:color w:val="auto"/>
          <w:highlight w:val="none"/>
        </w:rPr>
      </w:pPr>
    </w:p>
    <w:p w14:paraId="4BAD590F">
      <w:pPr>
        <w:spacing w:line="380" w:lineRule="exact"/>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十二、政府采购供应商诚信承诺书</w:t>
      </w:r>
    </w:p>
    <w:p w14:paraId="20C7FE53">
      <w:pPr>
        <w:spacing w:line="380" w:lineRule="exact"/>
        <w:jc w:val="center"/>
        <w:rPr>
          <w:rFonts w:hint="eastAsia" w:ascii="宋体" w:hAnsi="宋体" w:eastAsia="宋体" w:cs="宋体"/>
          <w:b/>
          <w:color w:val="auto"/>
          <w:sz w:val="24"/>
          <w:highlight w:val="none"/>
        </w:rPr>
      </w:pPr>
    </w:p>
    <w:p w14:paraId="1BA0E816">
      <w:pPr>
        <w:spacing w:line="3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F510E0">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14:paraId="0FF568CD">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（二）采取不正当手段诋毁、排挤其他供应商;</w:t>
      </w:r>
    </w:p>
    <w:p w14:paraId="3B64FDF3">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（三）与招标采购单位、其他投标人恶意串通;</w:t>
      </w:r>
    </w:p>
    <w:p w14:paraId="038461F1">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14:paraId="0525C41F">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14:paraId="26F9E7E9">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14:paraId="1C268A31">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14:paraId="38E2851D">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14:paraId="418A880B">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14:paraId="479B7BBE">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14:paraId="7DB11B45">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（十ー）擅自或与与采购人串通或接受采购人要求，在履约合同中通过减少</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数量，更服务标准等，却仍按原合同进行虚假验收或终止政府采购合同;</w:t>
      </w:r>
    </w:p>
    <w:p w14:paraId="3AA5F4F1">
      <w:pPr>
        <w:spacing w:line="380" w:lineRule="exact"/>
        <w:ind w:firstLine="403" w:firstLineChars="16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14:paraId="140CB314">
      <w:pPr>
        <w:spacing w:line="380" w:lineRule="exact"/>
        <w:ind w:firstLine="403" w:firstLineChars="16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14:paraId="4DBC2FA0">
      <w:pPr>
        <w:spacing w:line="380" w:lineRule="exact"/>
        <w:ind w:firstLine="360" w:firstLineChars="1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14:paraId="46F48963">
      <w:pPr>
        <w:spacing w:line="380" w:lineRule="exact"/>
        <w:ind w:firstLine="360" w:firstLineChars="1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14:paraId="5A445542">
      <w:pPr>
        <w:spacing w:line="380" w:lineRule="exact"/>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14:paraId="736BCC55">
      <w:pPr>
        <w:spacing w:line="380" w:lineRule="exact"/>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14:paraId="289802D2">
      <w:pPr>
        <w:spacing w:line="380" w:lineRule="exact"/>
        <w:jc w:val="center"/>
        <w:rPr>
          <w:rFonts w:hint="eastAsia" w:ascii="宋体" w:hAnsi="宋体" w:eastAsia="宋体" w:cs="宋体"/>
          <w:color w:val="auto"/>
          <w:sz w:val="24"/>
          <w:highlight w:val="none"/>
        </w:rPr>
      </w:pPr>
    </w:p>
    <w:p w14:paraId="4316608C">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7DEB97AA">
      <w:pPr>
        <w:spacing w:line="38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 </w:t>
      </w:r>
    </w:p>
    <w:p w14:paraId="1AB81AB3">
      <w:pPr>
        <w:spacing w:line="380" w:lineRule="exact"/>
        <w:jc w:val="center"/>
        <w:rPr>
          <w:rFonts w:hint="eastAsia" w:ascii="宋体" w:hAnsi="宋体" w:eastAsia="宋体" w:cs="宋体"/>
          <w:color w:val="auto"/>
          <w:sz w:val="24"/>
          <w:highlight w:val="none"/>
        </w:rPr>
      </w:pPr>
    </w:p>
    <w:p w14:paraId="4FBB57C8">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法人代表或授权委托人：（签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04267EF0">
      <w:pPr>
        <w:spacing w:line="380" w:lineRule="exact"/>
        <w:jc w:val="center"/>
        <w:rPr>
          <w:rFonts w:hint="eastAsia" w:ascii="宋体" w:hAnsi="宋体" w:eastAsia="宋体" w:cs="宋体"/>
          <w:color w:val="auto"/>
          <w:sz w:val="24"/>
          <w:highlight w:val="none"/>
        </w:rPr>
      </w:pPr>
    </w:p>
    <w:p w14:paraId="13EA72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2B78764F">
      <w:pPr>
        <w:pStyle w:val="26"/>
        <w:ind w:firstLine="210"/>
        <w:rPr>
          <w:rFonts w:hint="eastAsia" w:ascii="宋体" w:hAnsi="宋体" w:eastAsia="宋体" w:cs="宋体"/>
          <w:color w:val="auto"/>
          <w:highlight w:val="none"/>
        </w:rPr>
      </w:pPr>
    </w:p>
    <w:p w14:paraId="42D1B065">
      <w:pPr>
        <w:pStyle w:val="26"/>
        <w:ind w:firstLine="210"/>
        <w:rPr>
          <w:rFonts w:hint="eastAsia" w:ascii="宋体" w:hAnsi="宋体" w:eastAsia="宋体" w:cs="宋体"/>
          <w:color w:val="auto"/>
          <w:highlight w:val="none"/>
        </w:rPr>
      </w:pPr>
    </w:p>
    <w:p w14:paraId="2147D8FA">
      <w:pPr>
        <w:pStyle w:val="26"/>
        <w:ind w:firstLine="210"/>
        <w:rPr>
          <w:rFonts w:hint="eastAsia" w:ascii="宋体" w:hAnsi="宋体" w:eastAsia="宋体" w:cs="宋体"/>
          <w:color w:val="auto"/>
          <w:highlight w:val="none"/>
        </w:rPr>
      </w:pPr>
    </w:p>
    <w:p w14:paraId="2B5486C7">
      <w:pPr>
        <w:pStyle w:val="4"/>
        <w:bidi w:val="0"/>
        <w:rPr>
          <w:rFonts w:hint="eastAsia" w:ascii="宋体" w:hAnsi="宋体" w:eastAsia="宋体" w:cs="宋体"/>
          <w:color w:val="auto"/>
          <w:highlight w:val="none"/>
        </w:rPr>
      </w:pPr>
      <w:bookmarkStart w:id="222" w:name="_Toc12913"/>
      <w:r>
        <w:rPr>
          <w:rFonts w:hint="eastAsia" w:ascii="宋体" w:hAnsi="宋体" w:eastAsia="宋体" w:cs="宋体"/>
          <w:color w:val="auto"/>
          <w:highlight w:val="none"/>
        </w:rPr>
        <w:t>周口市政府采购合同融资政策告知函</w:t>
      </w:r>
      <w:bookmarkEnd w:id="222"/>
    </w:p>
    <w:p w14:paraId="4831C367">
      <w:pPr>
        <w:pStyle w:val="26"/>
        <w:ind w:firstLine="240"/>
        <w:rPr>
          <w:rFonts w:hint="eastAsia" w:ascii="宋体" w:hAnsi="宋体" w:eastAsia="宋体" w:cs="宋体"/>
          <w:color w:val="auto"/>
          <w:sz w:val="24"/>
          <w:szCs w:val="24"/>
          <w:highlight w:val="none"/>
        </w:rPr>
      </w:pPr>
    </w:p>
    <w:p w14:paraId="3C3646B4">
      <w:pPr>
        <w:pStyle w:val="26"/>
        <w:ind w:firstLine="240"/>
        <w:rPr>
          <w:rFonts w:hint="eastAsia" w:ascii="宋体" w:hAnsi="宋体" w:eastAsia="宋体" w:cs="宋体"/>
          <w:color w:val="auto"/>
          <w:sz w:val="24"/>
          <w:szCs w:val="24"/>
          <w:highlight w:val="none"/>
        </w:rPr>
      </w:pPr>
    </w:p>
    <w:p w14:paraId="55C98BB1">
      <w:pPr>
        <w:pStyle w:val="26"/>
        <w:ind w:firstLine="240"/>
        <w:rPr>
          <w:rFonts w:hint="eastAsia" w:ascii="宋体" w:hAnsi="宋体" w:eastAsia="宋体" w:cs="宋体"/>
          <w:color w:val="auto"/>
          <w:sz w:val="24"/>
          <w:szCs w:val="24"/>
          <w:highlight w:val="none"/>
        </w:rPr>
      </w:pPr>
    </w:p>
    <w:p w14:paraId="7E5B5FCA">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各供应商：</w:t>
      </w:r>
    </w:p>
    <w:p w14:paraId="36F8BB05">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欢迎贵公司参与周口市政府采购活动！</w:t>
      </w:r>
    </w:p>
    <w:p w14:paraId="5FFDE2CC">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AAABD9C">
      <w:pPr>
        <w:pStyle w:val="19"/>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贷款渠道和提供贷款的金融机构，可在河南省政府采购网“河南省政府采购合同融资平台”查询联系。</w:t>
      </w:r>
    </w:p>
    <w:p w14:paraId="10471674">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B573DE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7D2D6A17">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13BC2304">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3DAB75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75D316D2">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2E67DC6A">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540F594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65DE30C6">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574ED669">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0F48BFA">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2360AC3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FA0CE49">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040A671">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81942A2">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63C55297">
      <w:pPr>
        <w:pStyle w:val="26"/>
        <w:ind w:left="0" w:leftChars="0" w:firstLine="0" w:firstLineChars="0"/>
        <w:rPr>
          <w:rFonts w:hint="eastAsia" w:ascii="宋体" w:hAnsi="宋体" w:eastAsia="宋体" w:cs="宋体"/>
          <w:color w:val="auto"/>
          <w:sz w:val="24"/>
          <w:szCs w:val="24"/>
          <w:highlight w:val="none"/>
        </w:rPr>
      </w:pPr>
    </w:p>
    <w:p w14:paraId="697DB251">
      <w:pPr>
        <w:rPr>
          <w:color w:val="auto"/>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F71E5">
    <w:pPr>
      <w:pStyle w:val="15"/>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6574F2A8">
                          <w:pPr>
                            <w:pStyle w:val="15"/>
                            <w:rPr>
                              <w:rStyle w:val="24"/>
                              <w:rFonts w:hint="eastAsia"/>
                            </w:rPr>
                          </w:pPr>
                          <w:r>
                            <w:fldChar w:fldCharType="begin"/>
                          </w:r>
                          <w:r>
                            <w:rPr>
                              <w:rStyle w:val="24"/>
                            </w:rPr>
                            <w:instrText xml:space="preserve">PAGE   \* MERGEFORMAT</w:instrText>
                          </w:r>
                          <w:r>
                            <w:fldChar w:fldCharType="separate"/>
                          </w:r>
                          <w:r>
                            <w:rPr>
                              <w:rStyle w:val="24"/>
                              <w:lang w:val="zh-CN"/>
                            </w:rPr>
                            <w:t>15</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6574F2A8">
                    <w:pPr>
                      <w:pStyle w:val="15"/>
                      <w:rPr>
                        <w:rStyle w:val="24"/>
                        <w:rFonts w:hint="eastAsia"/>
                      </w:rPr>
                    </w:pPr>
                    <w:r>
                      <w:fldChar w:fldCharType="begin"/>
                    </w:r>
                    <w:r>
                      <w:rPr>
                        <w:rStyle w:val="24"/>
                      </w:rPr>
                      <w:instrText xml:space="preserve">PAGE   \* MERGEFORMAT</w:instrText>
                    </w:r>
                    <w:r>
                      <w:fldChar w:fldCharType="separate"/>
                    </w:r>
                    <w:r>
                      <w:rPr>
                        <w:rStyle w:val="24"/>
                        <w:lang w:val="zh-CN"/>
                      </w:rP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3B73C"/>
    <w:multiLevelType w:val="singleLevel"/>
    <w:tmpl w:val="1223B73C"/>
    <w:lvl w:ilvl="0" w:tentative="0">
      <w:start w:val="1"/>
      <w:numFmt w:val="chineseCounting"/>
      <w:suff w:val="space"/>
      <w:lvlText w:val="第%1章"/>
      <w:lvlJc w:val="left"/>
      <w:rPr>
        <w:rFonts w:hint="eastAsia"/>
      </w:rPr>
    </w:lvl>
  </w:abstractNum>
  <w:abstractNum w:abstractNumId="1">
    <w:nsid w:val="6DA1672E"/>
    <w:multiLevelType w:val="singleLevel"/>
    <w:tmpl w:val="6DA1672E"/>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022BAD"/>
    <w:rsid w:val="00C62D6B"/>
    <w:rsid w:val="06022BAD"/>
    <w:rsid w:val="086A1FB2"/>
    <w:rsid w:val="137C43C4"/>
    <w:rsid w:val="24E041BE"/>
    <w:rsid w:val="26DB28AB"/>
    <w:rsid w:val="27C4764E"/>
    <w:rsid w:val="2B545E91"/>
    <w:rsid w:val="3F765DE3"/>
    <w:rsid w:val="4A343DB5"/>
    <w:rsid w:val="4BBD119E"/>
    <w:rsid w:val="53A92F5C"/>
    <w:rsid w:val="6DF31BB3"/>
    <w:rsid w:val="702F7EED"/>
    <w:rsid w:val="729A4E8E"/>
    <w:rsid w:val="7B186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5">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6">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3">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caption"/>
    <w:basedOn w:val="1"/>
    <w:next w:val="1"/>
    <w:qFormat/>
    <w:uiPriority w:val="0"/>
    <w:rPr>
      <w:rFonts w:ascii="Cambria" w:hAnsi="Cambria" w:eastAsia="黑体"/>
      <w:sz w:val="20"/>
    </w:rPr>
  </w:style>
  <w:style w:type="paragraph" w:styleId="7">
    <w:name w:val="annotation text"/>
    <w:basedOn w:val="1"/>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w:basedOn w:val="1"/>
    <w:next w:val="10"/>
    <w:qFormat/>
    <w:uiPriority w:val="0"/>
    <w:rPr>
      <w:rFonts w:ascii="宋体" w:hAnsi="Arial"/>
      <w:sz w:val="28"/>
    </w:rPr>
  </w:style>
  <w:style w:type="paragraph" w:styleId="10">
    <w:name w:val="toc 2"/>
    <w:basedOn w:val="1"/>
    <w:next w:val="1"/>
    <w:qFormat/>
    <w:uiPriority w:val="39"/>
    <w:pPr>
      <w:ind w:left="210"/>
      <w:jc w:val="left"/>
    </w:pPr>
    <w:rPr>
      <w:smallCaps/>
      <w:sz w:val="28"/>
      <w:szCs w:val="24"/>
    </w:rPr>
  </w:style>
  <w:style w:type="paragraph" w:styleId="11">
    <w:name w:val="Body Text Indent"/>
    <w:basedOn w:val="1"/>
    <w:next w:val="12"/>
    <w:qFormat/>
    <w:uiPriority w:val="0"/>
    <w:pPr>
      <w:ind w:firstLine="645"/>
    </w:pPr>
    <w:rPr>
      <w:rFonts w:ascii="楷体_GB2312" w:eastAsia="楷体_GB2312"/>
      <w:sz w:val="32"/>
    </w:rPr>
  </w:style>
  <w:style w:type="paragraph" w:styleId="12">
    <w:name w:val="Body Text First Indent 2"/>
    <w:basedOn w:val="1"/>
    <w:next w:val="1"/>
    <w:qFormat/>
    <w:uiPriority w:val="0"/>
    <w:pPr>
      <w:spacing w:after="120"/>
      <w:ind w:left="420" w:firstLine="210"/>
    </w:pPr>
    <w:rPr>
      <w:rFonts w:ascii="Times New Roman"/>
    </w:rPr>
  </w:style>
  <w:style w:type="paragraph" w:styleId="13">
    <w:name w:val="Plain Text"/>
    <w:basedOn w:val="1"/>
    <w:qFormat/>
    <w:uiPriority w:val="0"/>
    <w:rPr>
      <w:rFonts w:ascii="宋体" w:hAnsi="Courier New"/>
    </w:rPr>
  </w:style>
  <w:style w:type="paragraph" w:styleId="14">
    <w:name w:val="Date"/>
    <w:basedOn w:val="1"/>
    <w:next w:val="1"/>
    <w:qFormat/>
    <w:uiPriority w:val="0"/>
    <w:rPr>
      <w:b/>
      <w:sz w:val="28"/>
    </w:rPr>
  </w:style>
  <w:style w:type="paragraph" w:styleId="15">
    <w:name w:val="footer"/>
    <w:basedOn w:val="1"/>
    <w:qFormat/>
    <w:uiPriority w:val="0"/>
    <w:pPr>
      <w:tabs>
        <w:tab w:val="center" w:pos="4153"/>
        <w:tab w:val="right" w:pos="8306"/>
      </w:tabs>
      <w:snapToGrid w:val="0"/>
      <w:jc w:val="left"/>
    </w:pPr>
    <w:rPr>
      <w:sz w:val="18"/>
    </w:rPr>
  </w:style>
  <w:style w:type="paragraph" w:styleId="16">
    <w:name w:val="envelope return"/>
    <w:basedOn w:val="1"/>
    <w:qFormat/>
    <w:uiPriority w:val="99"/>
    <w:rPr>
      <w:rFonts w:ascii="Arial" w:hAnsi="Arial"/>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rPr>
  </w:style>
  <w:style w:type="paragraph" w:styleId="18">
    <w:name w:val="footnote text"/>
    <w:basedOn w:val="1"/>
    <w:qFormat/>
    <w:uiPriority w:val="99"/>
    <w:pPr>
      <w:snapToGrid w:val="0"/>
      <w:jc w:val="left"/>
    </w:pPr>
    <w:rPr>
      <w:sz w:val="18"/>
      <w:szCs w:val="18"/>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paragraph" w:styleId="21">
    <w:name w:val="Body Text First Indent"/>
    <w:basedOn w:val="9"/>
    <w:next w:val="12"/>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24">
    <w:name w:val="page number"/>
    <w:basedOn w:val="23"/>
    <w:qFormat/>
    <w:uiPriority w:val="0"/>
  </w:style>
  <w:style w:type="paragraph" w:customStyle="1" w:styleId="25">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
    <w:name w:val="BodyText1I"/>
    <w:basedOn w:val="27"/>
    <w:qFormat/>
    <w:uiPriority w:val="99"/>
    <w:pPr>
      <w:ind w:firstLine="420" w:firstLineChars="100"/>
    </w:pPr>
  </w:style>
  <w:style w:type="paragraph" w:customStyle="1" w:styleId="27">
    <w:name w:val="BodyText"/>
    <w:basedOn w:val="1"/>
    <w:next w:val="28"/>
    <w:qFormat/>
    <w:uiPriority w:val="99"/>
    <w:pPr>
      <w:spacing w:after="120"/>
    </w:pPr>
  </w:style>
  <w:style w:type="paragraph" w:customStyle="1" w:styleId="2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9">
    <w:name w:val="D&amp;L"/>
    <w:basedOn w:val="17"/>
    <w:qFormat/>
    <w:uiPriority w:val="0"/>
    <w:pPr>
      <w:pBdr>
        <w:bottom w:val="thinThickSmallGap" w:color="auto" w:sz="18" w:space="1"/>
      </w:pBdr>
      <w:adjustRightInd w:val="0"/>
      <w:snapToGrid/>
      <w:spacing w:line="240" w:lineRule="atLeast"/>
      <w:textAlignment w:val="baseline"/>
    </w:pPr>
    <w:rPr>
      <w:kern w:val="0"/>
      <w:sz w:val="24"/>
    </w:rPr>
  </w:style>
  <w:style w:type="paragraph" w:styleId="30">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31">
    <w:name w:val="正文1"/>
    <w:basedOn w:val="1"/>
    <w:qFormat/>
    <w:uiPriority w:val="0"/>
    <w:pPr>
      <w:widowControl/>
      <w:topLinePunct/>
      <w:spacing w:before="156" w:beforeLines="50" w:after="156" w:afterLines="50" w:line="300" w:lineRule="auto"/>
      <w:ind w:left="420"/>
    </w:pPr>
    <w:rPr>
      <w:szCs w:val="24"/>
    </w:rPr>
  </w:style>
  <w:style w:type="paragraph" w:customStyle="1" w:styleId="32">
    <w:name w:val="Char Char Char Char Char Char Char1 Char"/>
    <w:basedOn w:val="1"/>
    <w:qFormat/>
    <w:uiPriority w:val="0"/>
    <w:rPr>
      <w:rFonts w:ascii="Tahoma" w:hAnsi="Tahoma"/>
      <w:sz w:val="24"/>
    </w:rPr>
  </w:style>
  <w:style w:type="paragraph" w:customStyle="1" w:styleId="33">
    <w:name w:val="xl31"/>
    <w:basedOn w:val="1"/>
    <w:qFormat/>
    <w:uiPriority w:val="0"/>
    <w:pPr>
      <w:widowControl/>
      <w:spacing w:before="100" w:beforeAutospacing="1" w:after="100" w:afterAutospacing="1"/>
      <w:jc w:val="center"/>
    </w:pPr>
    <w:rPr>
      <w:rFonts w:ascii="宋体" w:hAnsi="宋体"/>
      <w:b/>
      <w:bCs/>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3427</Words>
  <Characters>3790</Characters>
  <Lines>0</Lines>
  <Paragraphs>0</Paragraphs>
  <TotalTime>0</TotalTime>
  <ScaleCrop>false</ScaleCrop>
  <LinksUpToDate>false</LinksUpToDate>
  <CharactersWithSpaces>3966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2025-05-29T08:22:00Z</dcterms:created>
  <dc:creator>Administrator</dc:creator>
  <cp:lastModifiedBy>user</cp:lastModifiedBy>
  <dcterms:modified xsi:type="dcterms:W3CDTF">2025-06-17T08:22:14Z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3EDA740814B64910965CBCBFF4D71DAB_13</vt:lpwstr>
  </property>
  <property fmtid="{D5CDD505-2E9C-101B-9397-08002B2CF9AE}" pid="4" name="KSOTemplateDocerSaveRecord">
    <vt:lpwstr>eyJoZGlkIjoiNTQ3MGY4OWEwYWQ5MGRhOTEyZDdjODBiNTM4ZTJjNzciLCJ1c2VySWQiOiIxMDg5MjYwMDExIn0=</vt:lpwstr>
  </property>
</Properties>
</file>